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5299FA" w14:textId="77777777" w:rsidR="00CD02F2" w:rsidRDefault="00CD02F2" w:rsidP="00380642">
      <w:bookmarkStart w:id="0" w:name="_Toc428124492"/>
    </w:p>
    <w:p w14:paraId="2FE9D600" w14:textId="77777777" w:rsidR="00380642" w:rsidRPr="00380642" w:rsidRDefault="00380642" w:rsidP="00380642"/>
    <w:p w14:paraId="38C39119" w14:textId="77777777" w:rsidR="00162472" w:rsidRPr="00162472" w:rsidRDefault="00162472" w:rsidP="00162472"/>
    <w:p w14:paraId="41A2306B" w14:textId="77777777" w:rsidR="00CD02F2" w:rsidRDefault="00CD02F2" w:rsidP="00B24966">
      <w:pPr>
        <w:pStyle w:val="Titel"/>
      </w:pPr>
    </w:p>
    <w:p w14:paraId="06284587" w14:textId="09EAC54D" w:rsidR="00652C97" w:rsidRPr="007A50E1" w:rsidRDefault="00162472" w:rsidP="00B24966">
      <w:pPr>
        <w:pStyle w:val="Titel"/>
      </w:pPr>
      <w:bookmarkStart w:id="1" w:name="_Toc428288399"/>
      <w:bookmarkStart w:id="2" w:name="_Toc428443903"/>
      <w:r>
        <w:t>Die Bestimmung des §</w:t>
      </w:r>
      <w:r w:rsidR="00780705">
        <w:t xml:space="preserve"> 58</w:t>
      </w:r>
      <w:r>
        <w:t xml:space="preserve"> des</w:t>
      </w:r>
      <w:r w:rsidR="00652C97" w:rsidRPr="007A50E1">
        <w:t xml:space="preserve"> </w:t>
      </w:r>
      <w:r w:rsidR="00780705">
        <w:t xml:space="preserve">Saarländischen Mediengesetzes (SMG) und die Vorgaben der Rundfunkfreiheit des Art. 5 Abs. 1 Satz 2 des Grundgesetzes (GG) </w:t>
      </w:r>
      <w:bookmarkEnd w:id="0"/>
      <w:bookmarkEnd w:id="1"/>
      <w:bookmarkEnd w:id="2"/>
    </w:p>
    <w:p w14:paraId="51FFF88D" w14:textId="77777777" w:rsidR="00652C97" w:rsidRPr="007A50E1" w:rsidRDefault="00652C97" w:rsidP="00B24966">
      <w:pPr>
        <w:jc w:val="center"/>
      </w:pPr>
    </w:p>
    <w:p w14:paraId="63EF0F04" w14:textId="77777777" w:rsidR="00652C97" w:rsidRPr="007A50E1" w:rsidRDefault="00652C97" w:rsidP="00B24966">
      <w:pPr>
        <w:jc w:val="center"/>
      </w:pPr>
    </w:p>
    <w:p w14:paraId="651FE577" w14:textId="77777777" w:rsidR="00652C97" w:rsidRPr="007A50E1" w:rsidRDefault="00652C97" w:rsidP="00B24966">
      <w:pPr>
        <w:jc w:val="center"/>
      </w:pPr>
      <w:r w:rsidRPr="007A50E1">
        <w:t>Kurzgutachten</w:t>
      </w:r>
    </w:p>
    <w:p w14:paraId="13B2FE58" w14:textId="77777777" w:rsidR="00652C97" w:rsidRPr="007A50E1" w:rsidRDefault="00652C97" w:rsidP="00B24966">
      <w:pPr>
        <w:jc w:val="center"/>
      </w:pPr>
    </w:p>
    <w:p w14:paraId="54D42FF6" w14:textId="77777777" w:rsidR="00652C97" w:rsidRPr="007A50E1" w:rsidRDefault="00652C97" w:rsidP="00B24966">
      <w:pPr>
        <w:jc w:val="center"/>
      </w:pPr>
      <w:r w:rsidRPr="007A50E1">
        <w:t>von</w:t>
      </w:r>
    </w:p>
    <w:p w14:paraId="6B40E0D5" w14:textId="77777777" w:rsidR="00652C97" w:rsidRPr="007A50E1" w:rsidRDefault="00652C97" w:rsidP="00B24966">
      <w:pPr>
        <w:jc w:val="center"/>
      </w:pPr>
    </w:p>
    <w:p w14:paraId="32FE3DDF" w14:textId="77777777" w:rsidR="00652C97" w:rsidRDefault="00652C97" w:rsidP="00B24966">
      <w:pPr>
        <w:jc w:val="center"/>
        <w:rPr>
          <w:b/>
        </w:rPr>
      </w:pPr>
      <w:r w:rsidRPr="00DB2096">
        <w:rPr>
          <w:b/>
        </w:rPr>
        <w:t>Universitätsprofessor Dr. iur. Dieter Dörr</w:t>
      </w:r>
    </w:p>
    <w:p w14:paraId="5E985C77" w14:textId="77777777" w:rsidR="00380642" w:rsidRDefault="00380642" w:rsidP="00B24966">
      <w:pPr>
        <w:jc w:val="center"/>
      </w:pPr>
      <w:r>
        <w:t>Am Stadtwald 6</w:t>
      </w:r>
    </w:p>
    <w:p w14:paraId="162033E0" w14:textId="77777777" w:rsidR="00380642" w:rsidRPr="00380642" w:rsidRDefault="00380642" w:rsidP="00B24966">
      <w:pPr>
        <w:jc w:val="center"/>
      </w:pPr>
      <w:r>
        <w:t xml:space="preserve">66123 </w:t>
      </w:r>
      <w:r w:rsidR="00ED473B">
        <w:t>Saarbrücken</w:t>
      </w:r>
    </w:p>
    <w:p w14:paraId="6C72C867" w14:textId="67759FE8" w:rsidR="00652C97" w:rsidRDefault="00652C97" w:rsidP="00B24966">
      <w:pPr>
        <w:jc w:val="center"/>
      </w:pPr>
    </w:p>
    <w:p w14:paraId="26847CB2" w14:textId="7D895CA7" w:rsidR="00516AB2" w:rsidRDefault="00516AB2" w:rsidP="00516AB2">
      <w:pPr>
        <w:jc w:val="center"/>
      </w:pPr>
      <w:r>
        <w:t>Im Auftrag der</w:t>
      </w:r>
    </w:p>
    <w:p w14:paraId="0CE16B1E" w14:textId="3ED70D41" w:rsidR="00516AB2" w:rsidRDefault="00516AB2" w:rsidP="00516AB2">
      <w:pPr>
        <w:jc w:val="center"/>
      </w:pPr>
    </w:p>
    <w:p w14:paraId="5B2448A9" w14:textId="2C376C3D" w:rsidR="00516AB2" w:rsidRDefault="00516AB2" w:rsidP="00516AB2">
      <w:pPr>
        <w:jc w:val="center"/>
        <w:rPr>
          <w:b/>
          <w:bCs/>
        </w:rPr>
      </w:pPr>
      <w:r>
        <w:rPr>
          <w:b/>
          <w:bCs/>
        </w:rPr>
        <w:t xml:space="preserve">Bundestagsfraktionen </w:t>
      </w:r>
    </w:p>
    <w:p w14:paraId="65402AA3" w14:textId="5289C54C" w:rsidR="00516AB2" w:rsidRPr="00516AB2" w:rsidRDefault="00516AB2" w:rsidP="00516AB2">
      <w:pPr>
        <w:jc w:val="center"/>
        <w:rPr>
          <w:b/>
          <w:bCs/>
        </w:rPr>
      </w:pPr>
      <w:r>
        <w:rPr>
          <w:b/>
          <w:bCs/>
        </w:rPr>
        <w:t>Bündnis 90/Die Grünen</w:t>
      </w:r>
    </w:p>
    <w:p w14:paraId="0A7F01D2" w14:textId="77777777" w:rsidR="005466B7" w:rsidRDefault="00711DFD" w:rsidP="003E3373">
      <w:pPr>
        <w:pStyle w:val="berschrift1"/>
      </w:pPr>
      <w:r w:rsidRPr="00561DC2">
        <w:br w:type="page"/>
      </w:r>
      <w:r w:rsidR="005466B7">
        <w:lastRenderedPageBreak/>
        <w:t>Einleitung</w:t>
      </w:r>
    </w:p>
    <w:p w14:paraId="0B3169A3" w14:textId="54DFEF69" w:rsidR="008E32DC" w:rsidRDefault="00780705" w:rsidP="003E3373">
      <w:r>
        <w:t>Die Bestimmung des § 58 Abs. 1 SMG</w:t>
      </w:r>
      <w:r w:rsidR="00EC4803">
        <w:rPr>
          <w:rStyle w:val="Funotenzeichen"/>
        </w:rPr>
        <w:footnoteReference w:id="1"/>
      </w:r>
      <w:r>
        <w:t xml:space="preserve"> regelt die </w:t>
      </w:r>
      <w:r w:rsidR="00EF6939">
        <w:t>W</w:t>
      </w:r>
      <w:r>
        <w:t xml:space="preserve">ahl </w:t>
      </w:r>
      <w:r w:rsidR="00EF6939">
        <w:t xml:space="preserve">der Direktorin </w:t>
      </w:r>
      <w:r w:rsidR="00342FD9">
        <w:t>oder</w:t>
      </w:r>
      <w:r w:rsidR="00EF6939">
        <w:t xml:space="preserve"> des Direktors der Landesmedienanstalt Saar</w:t>
      </w:r>
      <w:r w:rsidR="00A56B7F">
        <w:t>land</w:t>
      </w:r>
      <w:r w:rsidR="00EF6939">
        <w:t xml:space="preserve">. Danach erfolgt deren </w:t>
      </w:r>
      <w:r w:rsidR="00342FD9">
        <w:t>oder</w:t>
      </w:r>
      <w:r w:rsidR="00EF6939">
        <w:t xml:space="preserve"> dessen Wahl durch den Landtag mit einer Mehrheit von </w:t>
      </w:r>
      <w:r w:rsidR="008E32DC">
        <w:t>zwei Dritteln seiner Mitglieder. Kommt diese Mehrheit bis spätestens einen Monat vor Ablauf der Amtszeit de</w:t>
      </w:r>
      <w:r w:rsidR="00EC4803">
        <w:t>r</w:t>
      </w:r>
      <w:r w:rsidR="008E32DC">
        <w:t xml:space="preserve"> bisherigen Direktorin bzw. des bisherigen Direktors nicht zustande, reicht für </w:t>
      </w:r>
      <w:r w:rsidR="00EC4803">
        <w:t>d</w:t>
      </w:r>
      <w:r w:rsidR="008E32DC">
        <w:t>ie Wahl bereits die Mehrheit der gesetzlichen Mitglieder.</w:t>
      </w:r>
    </w:p>
    <w:p w14:paraId="42A5B64F" w14:textId="65ABB28C" w:rsidR="008E32DC" w:rsidRDefault="008E32DC" w:rsidP="003E3373">
      <w:r>
        <w:t xml:space="preserve">Die Bestimmung lautet: </w:t>
      </w:r>
    </w:p>
    <w:p w14:paraId="384E09F9" w14:textId="0150BD29" w:rsidR="008E32DC" w:rsidRDefault="008E32DC" w:rsidP="008E32DC">
      <w:pPr>
        <w:jc w:val="center"/>
      </w:pPr>
      <w:r>
        <w:t>§ 58</w:t>
      </w:r>
      <w:r>
        <w:br/>
        <w:t>Die Direktorin oder der Direktor</w:t>
      </w:r>
    </w:p>
    <w:p w14:paraId="164CC21F" w14:textId="06EDA0B8" w:rsidR="008E32DC" w:rsidRDefault="008E32DC" w:rsidP="008E32DC">
      <w:pPr>
        <w:ind w:left="709" w:hanging="1"/>
      </w:pPr>
      <w:r>
        <w:t>(1) Die Direktorin oder der Direktor wird vom Landtag mit einer Mehrheit von zwei Dritteln seiner Mitglieder auf die Dauer von sieben Jahren gewählt. Kommt bis spätestens einen Monat vor Ablauf der Amtszeit der bisherigen Direktorin oder des bisherigen Direktors die Wahl mit der nach Satz 1 erforderlichen Mehrheit nicht zustande, ist gewählt, wer die Mehrheit der Stimmen der gesetzlichen Mitglieder des Landtages erhält. Wird nur ein Wahlvorschlag eingereicht, bedarf die Wahl durch den Landtag der Zustimmung der Mehrheit seiner Mitglieder. Die Wiederwahl ist zulässig. Ist die Wahl vor Ablauf der Amtszeit der bisherigen Direktorin oder des bisherigen Direktors noch nicht beendet, so bleibt diese oder dieser bis zum Abschluss der Wahl kommissarisch im Amt.</w:t>
      </w:r>
    </w:p>
    <w:p w14:paraId="45758611" w14:textId="00CDD308" w:rsidR="0076439B" w:rsidRDefault="008E32DC" w:rsidP="0076439B">
      <w:r>
        <w:t>Eine Sonderregelung für den Fall, dass die Direktorin oder der Direktor vorzeitig ausscheidet, trifft § 58 Abs. 3 SMG</w:t>
      </w:r>
      <w:r w:rsidR="0076439B">
        <w:t>. In diesem Fall ist innerhalb von drei Monaten eine Nachfolgerin oder ein Nachfolger für den Rest der Amtszeit zu wählen.</w:t>
      </w:r>
      <w:r w:rsidR="003E3373">
        <w:t xml:space="preserve"> </w:t>
      </w:r>
      <w:r w:rsidR="0076439B">
        <w:t>Die Bestimmung lautet:</w:t>
      </w:r>
    </w:p>
    <w:p w14:paraId="73258357" w14:textId="711F15E0" w:rsidR="0076439B" w:rsidRPr="00E73234" w:rsidRDefault="0076439B" w:rsidP="0076439B">
      <w:pPr>
        <w:ind w:left="709" w:hanging="1"/>
        <w:rPr>
          <w:szCs w:val="24"/>
        </w:rPr>
      </w:pPr>
      <w:r w:rsidRPr="0076439B">
        <w:rPr>
          <w:szCs w:val="24"/>
        </w:rPr>
        <w:t>(3) Scheidet die Direktorin oder der Direktor vorzeitig aus, ist innerhalb von drei Monaten eine</w:t>
      </w:r>
      <w:r>
        <w:rPr>
          <w:szCs w:val="24"/>
        </w:rPr>
        <w:t xml:space="preserve"> </w:t>
      </w:r>
      <w:r w:rsidRPr="0076439B">
        <w:rPr>
          <w:szCs w:val="24"/>
        </w:rPr>
        <w:t>Nachfolgerin oder ein Nachfolger für den Rest der Amtszeit zu wählen.</w:t>
      </w:r>
    </w:p>
    <w:p w14:paraId="542854CA" w14:textId="72E1FE77" w:rsidR="00DB0EA1" w:rsidRDefault="0076439B" w:rsidP="00E73234">
      <w:pPr>
        <w:rPr>
          <w:szCs w:val="24"/>
        </w:rPr>
      </w:pPr>
      <w:r>
        <w:rPr>
          <w:szCs w:val="24"/>
        </w:rPr>
        <w:lastRenderedPageBreak/>
        <w:t>Im Zusammenhang mit der Wahl der amtierenden Direktorin und der daraus resultierenden gerichtlichen Auseinandersetzung</w:t>
      </w:r>
      <w:r w:rsidR="00EC4803">
        <w:rPr>
          <w:rStyle w:val="Funotenzeichen"/>
          <w:szCs w:val="24"/>
        </w:rPr>
        <w:footnoteReference w:id="2"/>
      </w:r>
      <w:r>
        <w:rPr>
          <w:szCs w:val="24"/>
        </w:rPr>
        <w:t xml:space="preserve"> sind</w:t>
      </w:r>
      <w:r w:rsidR="00E7216E">
        <w:rPr>
          <w:szCs w:val="24"/>
        </w:rPr>
        <w:t xml:space="preserve"> nicht nur Verstöße gegen die Vorgaben des § 58. Abs. 3 SMG und den Grundsatz der Bestenauslese des Art. 33 Abs. 2</w:t>
      </w:r>
      <w:r>
        <w:rPr>
          <w:szCs w:val="24"/>
        </w:rPr>
        <w:t xml:space="preserve"> </w:t>
      </w:r>
      <w:r w:rsidR="00E7216E">
        <w:rPr>
          <w:szCs w:val="24"/>
        </w:rPr>
        <w:t xml:space="preserve">GG, sondern auch </w:t>
      </w:r>
      <w:r>
        <w:rPr>
          <w:szCs w:val="24"/>
        </w:rPr>
        <w:t>erhebliche Bedenken gegen die Vereinbarkeit des § 58 Abs. 1, 3 SMG mit dem aus der Rundfunkfreiheit folgenden Grundsatz der Staatsferne geltend gemacht worden</w:t>
      </w:r>
      <w:r w:rsidR="00DB0EA1">
        <w:rPr>
          <w:szCs w:val="24"/>
        </w:rPr>
        <w:t>,</w:t>
      </w:r>
      <w:r w:rsidR="00DB0EA1" w:rsidRPr="00DB0EA1">
        <w:rPr>
          <w:rStyle w:val="Funotenzeichen"/>
          <w:szCs w:val="24"/>
        </w:rPr>
        <w:t xml:space="preserve"> </w:t>
      </w:r>
      <w:r w:rsidR="00DB0EA1">
        <w:rPr>
          <w:rStyle w:val="Funotenzeichen"/>
          <w:szCs w:val="24"/>
        </w:rPr>
        <w:footnoteReference w:id="3"/>
      </w:r>
      <w:r w:rsidR="00DB0EA1">
        <w:rPr>
          <w:szCs w:val="24"/>
        </w:rPr>
        <w:t xml:space="preserve"> weil die</w:t>
      </w:r>
      <w:r w:rsidR="00E7216E">
        <w:rPr>
          <w:szCs w:val="24"/>
        </w:rPr>
        <w:t>se Bestimmungen eine</w:t>
      </w:r>
      <w:r w:rsidR="00DB0EA1">
        <w:rPr>
          <w:szCs w:val="24"/>
        </w:rPr>
        <w:t xml:space="preserve"> Wahl</w:t>
      </w:r>
      <w:r w:rsidR="00DB0EA1" w:rsidRPr="00E04DA0">
        <w:t xml:space="preserve"> durch</w:t>
      </w:r>
      <w:r w:rsidR="00E7216E">
        <w:t xml:space="preserve"> den Landtag und nicht, wie in fast allen anderen Ländern, durch</w:t>
      </w:r>
      <w:r w:rsidR="00DB0EA1" w:rsidRPr="00E04DA0">
        <w:t xml:space="preserve"> d</w:t>
      </w:r>
      <w:r w:rsidR="005A716B">
        <w:t>as</w:t>
      </w:r>
      <w:r w:rsidR="00DB0EA1" w:rsidRPr="00E04DA0">
        <w:t xml:space="preserve"> mehrheitlich mit staatsfernen Mitgliedern besetzte </w:t>
      </w:r>
      <w:r w:rsidR="005A716B">
        <w:t>Organ</w:t>
      </w:r>
      <w:r w:rsidR="00DB0EA1">
        <w:t xml:space="preserve"> der Landesmedienanstalt</w:t>
      </w:r>
      <w:r w:rsidR="005A716B">
        <w:t xml:space="preserve"> vorsehen</w:t>
      </w:r>
      <w:r w:rsidR="00DB0EA1" w:rsidRPr="00E04DA0">
        <w:t>,</w:t>
      </w:r>
      <w:r w:rsidR="005A716B">
        <w:t xml:space="preserve"> das im Saarland gemäß § 55 Abs. 4 Nr. 1 LMS als „Medienrat“ bezeichnet wird und</w:t>
      </w:r>
      <w:r w:rsidR="00DB0EA1">
        <w:t xml:space="preserve"> de</w:t>
      </w:r>
      <w:r w:rsidR="005A716B">
        <w:t>ss</w:t>
      </w:r>
      <w:r w:rsidR="00A56B7F">
        <w:t>en</w:t>
      </w:r>
      <w:r w:rsidR="005A716B">
        <w:t xml:space="preserve"> Aufgaben und </w:t>
      </w:r>
      <w:r w:rsidR="00DB0EA1">
        <w:t xml:space="preserve"> Zusammensetzung § 5</w:t>
      </w:r>
      <w:r w:rsidR="005A716B">
        <w:t>6 bzw. § 57</w:t>
      </w:r>
      <w:r w:rsidR="00DB0EA1">
        <w:t xml:space="preserve"> SMS regel</w:t>
      </w:r>
      <w:r w:rsidR="005A716B">
        <w:t>n</w:t>
      </w:r>
      <w:r>
        <w:rPr>
          <w:szCs w:val="24"/>
        </w:rPr>
        <w:t xml:space="preserve">. </w:t>
      </w:r>
    </w:p>
    <w:p w14:paraId="7E562CF9" w14:textId="38E39687" w:rsidR="00C50796" w:rsidRDefault="00DB0EA1" w:rsidP="00E73234">
      <w:pPr>
        <w:rPr>
          <w:szCs w:val="24"/>
        </w:rPr>
      </w:pPr>
      <w:r w:rsidRPr="00DB0EA1">
        <w:rPr>
          <w:szCs w:val="24"/>
        </w:rPr>
        <w:t>D</w:t>
      </w:r>
      <w:r w:rsidR="00293C17">
        <w:rPr>
          <w:szCs w:val="24"/>
        </w:rPr>
        <w:t>ie Wahl der amtierenden Direktorin erfolgte am 15.1.2020 durch den Landtag,</w:t>
      </w:r>
      <w:r w:rsidRPr="00DB0EA1">
        <w:rPr>
          <w:szCs w:val="24"/>
        </w:rPr>
        <w:t xml:space="preserve"> nachdem de</w:t>
      </w:r>
      <w:r w:rsidR="00293C17">
        <w:rPr>
          <w:szCs w:val="24"/>
        </w:rPr>
        <w:t>r</w:t>
      </w:r>
      <w:r w:rsidRPr="00DB0EA1">
        <w:rPr>
          <w:szCs w:val="24"/>
        </w:rPr>
        <w:t xml:space="preserve"> bisherige Direktor</w:t>
      </w:r>
      <w:r w:rsidR="00293C17">
        <w:rPr>
          <w:szCs w:val="24"/>
        </w:rPr>
        <w:t xml:space="preserve"> nach seiner Wahl zum Oberbürgermeister der Landeshauptstadt Saarbrücken und dem </w:t>
      </w:r>
      <w:r w:rsidR="00C50796">
        <w:rPr>
          <w:szCs w:val="24"/>
        </w:rPr>
        <w:t>A</w:t>
      </w:r>
      <w:r w:rsidR="00293C17">
        <w:rPr>
          <w:szCs w:val="24"/>
        </w:rPr>
        <w:t>ntritt</w:t>
      </w:r>
      <w:r w:rsidR="00C50796">
        <w:rPr>
          <w:szCs w:val="24"/>
        </w:rPr>
        <w:t xml:space="preserve"> dieses Amtes</w:t>
      </w:r>
      <w:r w:rsidR="00293C17">
        <w:rPr>
          <w:szCs w:val="24"/>
        </w:rPr>
        <w:t xml:space="preserve"> </w:t>
      </w:r>
      <w:r w:rsidR="00C50796">
        <w:rPr>
          <w:szCs w:val="24"/>
        </w:rPr>
        <w:t xml:space="preserve">am 1.10.2019 zum Ablauf des 30.9.2019 vorzeitig als Direktor der Landesmedienanstalt Saarland ausgeschieden </w:t>
      </w:r>
      <w:r w:rsidR="00E7216E">
        <w:rPr>
          <w:szCs w:val="24"/>
        </w:rPr>
        <w:t>war</w:t>
      </w:r>
      <w:r w:rsidR="00C50796">
        <w:rPr>
          <w:szCs w:val="24"/>
        </w:rPr>
        <w:t xml:space="preserve">. </w:t>
      </w:r>
      <w:r w:rsidR="00C50796">
        <w:rPr>
          <w:color w:val="333333"/>
          <w:szCs w:val="24"/>
        </w:rPr>
        <w:t>Seine Amtszeit als Direktor der Landesmedienanstalt Saarland wäre noch bis zum 30.4.2023 gelaufen</w:t>
      </w:r>
      <w:r w:rsidRPr="00DB0EA1">
        <w:rPr>
          <w:szCs w:val="24"/>
        </w:rPr>
        <w:t xml:space="preserve">. </w:t>
      </w:r>
      <w:r w:rsidR="00C50796">
        <w:rPr>
          <w:szCs w:val="24"/>
        </w:rPr>
        <w:t xml:space="preserve">Der Landtag wählte die neue Direktorin erst nach Ablauf der in § 58 Abs. 3 SMG vorgesehenen Dreimonatsfrist. Zudem erfolgte die Wahl nicht für den Rest der Amtszeit, also bis zum </w:t>
      </w:r>
      <w:r w:rsidR="00E7216E">
        <w:rPr>
          <w:szCs w:val="24"/>
        </w:rPr>
        <w:t>30.4.2023,</w:t>
      </w:r>
      <w:r w:rsidR="00C50796">
        <w:rPr>
          <w:szCs w:val="24"/>
        </w:rPr>
        <w:t xml:space="preserve"> sondern für den vollen Zeitraum von sieben Jahren</w:t>
      </w:r>
    </w:p>
    <w:p w14:paraId="67A580C1" w14:textId="533C1102" w:rsidR="00DB0EA1" w:rsidRPr="00587BCE" w:rsidRDefault="00DB0EA1" w:rsidP="00E73234">
      <w:pPr>
        <w:rPr>
          <w:szCs w:val="24"/>
        </w:rPr>
      </w:pPr>
      <w:r w:rsidRPr="00DB0EA1">
        <w:rPr>
          <w:szCs w:val="24"/>
        </w:rPr>
        <w:t xml:space="preserve">Bereits am 28.10.2019, also fast einen Monat vor der Ausschreibung der Stelle am 21.11.2019, nominierte die CDU-Landtagsfraktion </w:t>
      </w:r>
      <w:r w:rsidR="00587BCE">
        <w:rPr>
          <w:szCs w:val="24"/>
        </w:rPr>
        <w:t>eine ihrer</w:t>
      </w:r>
      <w:r w:rsidRPr="00DB0EA1">
        <w:rPr>
          <w:szCs w:val="24"/>
        </w:rPr>
        <w:t xml:space="preserve"> Abgeordnete</w:t>
      </w:r>
      <w:r w:rsidR="00587BCE">
        <w:rPr>
          <w:szCs w:val="24"/>
        </w:rPr>
        <w:t>n</w:t>
      </w:r>
      <w:r w:rsidRPr="00DB0EA1">
        <w:rPr>
          <w:szCs w:val="24"/>
        </w:rPr>
        <w:t xml:space="preserve"> als ihre Kandidatin. Darauf nahm der saarländische Ministerpräsident im Rahmen der Vorstellung eines größeren Personalpakets Bezug und der Vorsitzende der SPD-Landtagsfraktion bezeichnete die</w:t>
      </w:r>
      <w:r w:rsidR="00587BCE">
        <w:rPr>
          <w:szCs w:val="24"/>
        </w:rPr>
        <w:t>se</w:t>
      </w:r>
      <w:r w:rsidRPr="00DB0EA1">
        <w:rPr>
          <w:szCs w:val="24"/>
        </w:rPr>
        <w:t xml:space="preserve"> Nominierung als einen „ernstzunehmenden Vorschlag“. Auch dies geschah vor der Ausschreibung. All dies spricht dafür, dass eine politische Entscheidung über die Personalie bereits getroffen worden war, bevor das Besetzungsverfahren mit der Ausschreibung begann, zumal die Regierungskoalition im Landtag über eine zwei Drittel Mehrheit verfügt. Allerdings bewarben sich nach der Ausschreibung zwei weitere Personen auf die Stelle, darunter der stellvertretende Direktor der Landesmedienanstalt, der sich im Gegensatz zu der Landtagsabgeordneten vor der Wahl nicht einer Fraktion vorstellen </w:t>
      </w:r>
      <w:r w:rsidRPr="00DB0EA1">
        <w:rPr>
          <w:szCs w:val="24"/>
        </w:rPr>
        <w:lastRenderedPageBreak/>
        <w:t>und persönliche Gespräche führen konnte, weil ihm dies nicht angeboten wurde.</w:t>
      </w:r>
      <w:r>
        <w:rPr>
          <w:rStyle w:val="Funotenzeichen"/>
        </w:rPr>
        <w:footnoteReference w:id="4"/>
      </w:r>
      <w:r w:rsidR="00E7216E">
        <w:rPr>
          <w:szCs w:val="24"/>
        </w:rPr>
        <w:t xml:space="preserve"> Zudem erfüllte der stellvertretende Direktor die in der Sollvorschrift </w:t>
      </w:r>
      <w:r w:rsidR="00AC740C">
        <w:rPr>
          <w:szCs w:val="24"/>
        </w:rPr>
        <w:t>genannten Voraussetzung der Befähigung zum höheren Verwaltungsdienst und zum Richteramt.</w:t>
      </w:r>
      <w:r w:rsidRPr="00DB0EA1">
        <w:rPr>
          <w:szCs w:val="24"/>
        </w:rPr>
        <w:t xml:space="preserve"> Den gegen die Wahlentscheidung gerichteten Antrag des stellvertretenden Direktors auf einstweiligen Rechtsschutz </w:t>
      </w:r>
      <w:r w:rsidRPr="00587BCE">
        <w:rPr>
          <w:szCs w:val="24"/>
        </w:rPr>
        <w:t>wies das VG des Saarlandes mit Beschluss vom 2.4.2020, Az.: 2 L 115/20</w:t>
      </w:r>
      <w:r w:rsidRPr="00587BCE">
        <w:rPr>
          <w:rStyle w:val="Funotenzeichen"/>
        </w:rPr>
        <w:footnoteReference w:id="5"/>
      </w:r>
      <w:r w:rsidRPr="00587BCE">
        <w:t xml:space="preserve"> </w:t>
      </w:r>
      <w:r w:rsidRPr="00587BCE">
        <w:rPr>
          <w:szCs w:val="24"/>
        </w:rPr>
        <w:t xml:space="preserve"> zurück.</w:t>
      </w:r>
      <w:r w:rsidR="00767454" w:rsidRPr="00587BCE">
        <w:rPr>
          <w:szCs w:val="24"/>
        </w:rPr>
        <w:t xml:space="preserve"> </w:t>
      </w:r>
      <w:r w:rsidR="00767454" w:rsidRPr="00587BCE">
        <w:t>Dieser Beschluss blieb bestehen, da der Antragsteller erklärte, seine geltend gemachten Rechte nicht weiter zu verfolgen.</w:t>
      </w:r>
    </w:p>
    <w:p w14:paraId="5D627FFB" w14:textId="59CC678A" w:rsidR="00767454" w:rsidRPr="00587BCE" w:rsidRDefault="00767454" w:rsidP="00E73234">
      <w:pPr>
        <w:rPr>
          <w:szCs w:val="24"/>
        </w:rPr>
      </w:pPr>
      <w:r w:rsidRPr="00587BCE">
        <w:t>Immerhin konstatierte das VG des Saarlandes</w:t>
      </w:r>
      <w:r w:rsidR="00EB625C">
        <w:t xml:space="preserve"> in seinem Beschluss</w:t>
      </w:r>
      <w:r w:rsidRPr="00587BCE">
        <w:t xml:space="preserve"> im Hinblick auf die Staatsferne, dass insoweit gewichtige rechtliche Bedenken geltend gemacht worden seien. Insbesondere erscheine durchaus diskussionswürdig, ob es zur Gewährleistung der Rundfunkfreiheit sinnvoll sei, die Direktorin/den Direktor der LMS ebenso wie in Rheinland-Pfalz durch ein pluralistisch zusammengesetztes Gremium wählen zu lassen. Der Kammer dränge sich aber mit Blick auf die zwischen den Beteiligten zu dieser Problematik im vorliegenden Verfahren ausgetauschten Argumente eine Verfassungswidrigkeit der Regelungen über die Wahl der Direktorin/des Direktors der LMS durch den Landtag des Saarlandes nicht auf.</w:t>
      </w:r>
      <w:r w:rsidRPr="00587BCE">
        <w:rPr>
          <w:rStyle w:val="Funotenzeichen"/>
        </w:rPr>
        <w:footnoteReference w:id="6"/>
      </w:r>
      <w:r w:rsidRPr="00587BCE">
        <w:t xml:space="preserve"> Irgendeine Begründung für diese Annahme oder gar ein Eingehen auf die Vorgaben des Bundesverfassungsgerichts im Urteil zum ZDF-Staatsvertrag</w:t>
      </w:r>
      <w:r w:rsidRPr="00587BCE">
        <w:rPr>
          <w:rStyle w:val="Funotenzeichen"/>
        </w:rPr>
        <w:footnoteReference w:id="7"/>
      </w:r>
      <w:r w:rsidRPr="00587BCE">
        <w:t xml:space="preserve"> und eine Auseinandersetzung damit blieb das VG des Saarlandes allerdings schuldig.</w:t>
      </w:r>
    </w:p>
    <w:p w14:paraId="67035239" w14:textId="0EDAF1FF" w:rsidR="00822004" w:rsidRPr="00587BCE" w:rsidRDefault="0076439B" w:rsidP="00E73234">
      <w:pPr>
        <w:rPr>
          <w:szCs w:val="24"/>
        </w:rPr>
      </w:pPr>
      <w:r w:rsidRPr="00587BCE">
        <w:rPr>
          <w:szCs w:val="24"/>
        </w:rPr>
        <w:t xml:space="preserve">Außerdem wurden beachtliche Einwände gegen die Auslegung der Vorschrift durch das VG des Saarlandes </w:t>
      </w:r>
      <w:r w:rsidR="00EC4803" w:rsidRPr="00587BCE">
        <w:rPr>
          <w:szCs w:val="24"/>
        </w:rPr>
        <w:t>im Hinblick auf die Vorgaben</w:t>
      </w:r>
      <w:r w:rsidR="00AC740C" w:rsidRPr="00587BCE">
        <w:rPr>
          <w:szCs w:val="24"/>
        </w:rPr>
        <w:t xml:space="preserve"> des § 58 Abs. 3 SMG und</w:t>
      </w:r>
      <w:r w:rsidR="00EC4803" w:rsidRPr="00587BCE">
        <w:rPr>
          <w:szCs w:val="24"/>
        </w:rPr>
        <w:t xml:space="preserve"> des Art. 33 Abs. 2 GG erhoben.</w:t>
      </w:r>
      <w:r w:rsidR="00767454" w:rsidRPr="00587BCE">
        <w:rPr>
          <w:szCs w:val="24"/>
        </w:rPr>
        <w:t xml:space="preserve"> Diese beruhen vor allem darauf, dass das VG des Saarlandes davon ausg</w:t>
      </w:r>
      <w:r w:rsidR="00A56B7F" w:rsidRPr="00587BCE">
        <w:rPr>
          <w:szCs w:val="24"/>
        </w:rPr>
        <w:t>ing</w:t>
      </w:r>
      <w:r w:rsidR="00767454" w:rsidRPr="00587BCE">
        <w:rPr>
          <w:szCs w:val="24"/>
        </w:rPr>
        <w:t>, die Entscheidung des Landtags sei ihrer Natur nach nicht justiziabel</w:t>
      </w:r>
      <w:r w:rsidR="00A56B7F" w:rsidRPr="00587BCE">
        <w:rPr>
          <w:szCs w:val="24"/>
        </w:rPr>
        <w:t>,</w:t>
      </w:r>
      <w:r w:rsidR="00822004" w:rsidRPr="00587BCE">
        <w:rPr>
          <w:szCs w:val="24"/>
        </w:rPr>
        <w:t xml:space="preserve"> und</w:t>
      </w:r>
      <w:r w:rsidR="00A56B7F" w:rsidRPr="00587BCE">
        <w:rPr>
          <w:szCs w:val="24"/>
        </w:rPr>
        <w:t xml:space="preserve"> sich</w:t>
      </w:r>
      <w:r w:rsidR="00822004" w:rsidRPr="00587BCE">
        <w:rPr>
          <w:szCs w:val="24"/>
        </w:rPr>
        <w:t xml:space="preserve"> daher </w:t>
      </w:r>
      <w:r w:rsidR="00AC740C" w:rsidRPr="00587BCE">
        <w:rPr>
          <w:szCs w:val="24"/>
        </w:rPr>
        <w:t>insbesondere</w:t>
      </w:r>
      <w:r w:rsidR="00822004" w:rsidRPr="00587BCE">
        <w:rPr>
          <w:szCs w:val="24"/>
        </w:rPr>
        <w:t xml:space="preserve"> mit den auf die Vorgaben des Art. 33 Abs. 2 GG bezogenen Einwände</w:t>
      </w:r>
      <w:r w:rsidR="00A56B7F" w:rsidRPr="00587BCE">
        <w:rPr>
          <w:szCs w:val="24"/>
        </w:rPr>
        <w:t>n</w:t>
      </w:r>
      <w:r w:rsidR="00822004" w:rsidRPr="00587BCE">
        <w:rPr>
          <w:szCs w:val="24"/>
        </w:rPr>
        <w:t xml:space="preserve"> des Antragstellers</w:t>
      </w:r>
      <w:r w:rsidR="00AC740C" w:rsidRPr="00587BCE">
        <w:rPr>
          <w:szCs w:val="24"/>
        </w:rPr>
        <w:t xml:space="preserve"> in keiner Weise</w:t>
      </w:r>
      <w:r w:rsidR="00822004" w:rsidRPr="00587BCE">
        <w:rPr>
          <w:szCs w:val="24"/>
        </w:rPr>
        <w:t xml:space="preserve"> auseinandersetzt</w:t>
      </w:r>
      <w:r w:rsidR="00A56B7F" w:rsidRPr="00587BCE">
        <w:rPr>
          <w:szCs w:val="24"/>
        </w:rPr>
        <w:t>e</w:t>
      </w:r>
      <w:r w:rsidR="00767454" w:rsidRPr="00587BCE">
        <w:rPr>
          <w:szCs w:val="24"/>
        </w:rPr>
        <w:t>.</w:t>
      </w:r>
      <w:r w:rsidR="00822004" w:rsidRPr="00587BCE">
        <w:rPr>
          <w:rStyle w:val="Funotenzeichen"/>
          <w:szCs w:val="24"/>
        </w:rPr>
        <w:footnoteReference w:id="8"/>
      </w:r>
      <w:r w:rsidRPr="00587BCE">
        <w:rPr>
          <w:szCs w:val="24"/>
        </w:rPr>
        <w:t xml:space="preserve"> </w:t>
      </w:r>
    </w:p>
    <w:p w14:paraId="48A51D88" w14:textId="3DA63EDB" w:rsidR="005466B7" w:rsidRPr="00E73234" w:rsidRDefault="00AC740C" w:rsidP="00E73234">
      <w:pPr>
        <w:rPr>
          <w:szCs w:val="24"/>
        </w:rPr>
      </w:pPr>
      <w:r w:rsidRPr="00587BCE">
        <w:rPr>
          <w:szCs w:val="24"/>
        </w:rPr>
        <w:t>D</w:t>
      </w:r>
      <w:r w:rsidR="00822004" w:rsidRPr="00587BCE">
        <w:rPr>
          <w:szCs w:val="24"/>
        </w:rPr>
        <w:t>ie Bundestagsfraktion</w:t>
      </w:r>
      <w:r w:rsidR="00EB625C">
        <w:rPr>
          <w:szCs w:val="24"/>
        </w:rPr>
        <w:t>en</w:t>
      </w:r>
      <w:r w:rsidR="00822004" w:rsidRPr="00587BCE">
        <w:rPr>
          <w:szCs w:val="24"/>
        </w:rPr>
        <w:t xml:space="preserve"> Bündnis90/Die Grünen</w:t>
      </w:r>
      <w:r w:rsidRPr="00587BCE">
        <w:rPr>
          <w:szCs w:val="24"/>
        </w:rPr>
        <w:t xml:space="preserve"> ha</w:t>
      </w:r>
      <w:r w:rsidR="00EB625C">
        <w:rPr>
          <w:szCs w:val="24"/>
        </w:rPr>
        <w:t>ben</w:t>
      </w:r>
      <w:r w:rsidRPr="00587BCE">
        <w:rPr>
          <w:szCs w:val="24"/>
        </w:rPr>
        <w:t xml:space="preserve"> mich</w:t>
      </w:r>
      <w:r w:rsidR="00822004" w:rsidRPr="00587BCE">
        <w:rPr>
          <w:szCs w:val="24"/>
        </w:rPr>
        <w:t xml:space="preserve"> gebeten, die Frage zu beantworten, ob die Bestimmung des § 58 SMG hinsichtlich des Verfahrens zur Wahl </w:t>
      </w:r>
      <w:r w:rsidR="00822004">
        <w:rPr>
          <w:szCs w:val="24"/>
        </w:rPr>
        <w:t xml:space="preserve">einer Direktorin bzw. eines Direktors der Landesmedienanstalt </w:t>
      </w:r>
      <w:r w:rsidR="00157CF0">
        <w:rPr>
          <w:szCs w:val="24"/>
        </w:rPr>
        <w:t>mit dem Grundgesetz, insbesondere der Rundfunkfreiheit, vereinbar ist.</w:t>
      </w:r>
      <w:r w:rsidR="0029057E">
        <w:rPr>
          <w:szCs w:val="24"/>
        </w:rPr>
        <w:t xml:space="preserve"> </w:t>
      </w:r>
      <w:r w:rsidR="00157CF0">
        <w:rPr>
          <w:szCs w:val="24"/>
        </w:rPr>
        <w:t xml:space="preserve">Zur Beantwortung dieser Frage </w:t>
      </w:r>
      <w:r w:rsidR="00157CF0">
        <w:rPr>
          <w:szCs w:val="24"/>
        </w:rPr>
        <w:lastRenderedPageBreak/>
        <w:t>werden</w:t>
      </w:r>
      <w:r w:rsidR="00CE5E8E">
        <w:rPr>
          <w:szCs w:val="24"/>
        </w:rPr>
        <w:t xml:space="preserve"> zunächst</w:t>
      </w:r>
      <w:r w:rsidR="005466B7" w:rsidRPr="00E73234">
        <w:rPr>
          <w:szCs w:val="24"/>
        </w:rPr>
        <w:t xml:space="preserve"> die </w:t>
      </w:r>
      <w:r w:rsidR="00D6696D">
        <w:rPr>
          <w:szCs w:val="24"/>
        </w:rPr>
        <w:t>Vorgaben</w:t>
      </w:r>
      <w:r w:rsidR="00157CF0">
        <w:rPr>
          <w:szCs w:val="24"/>
        </w:rPr>
        <w:t xml:space="preserve"> der Rundfunkfreiheit</w:t>
      </w:r>
      <w:r w:rsidR="005466B7" w:rsidRPr="00E73234">
        <w:rPr>
          <w:szCs w:val="24"/>
        </w:rPr>
        <w:t xml:space="preserve"> des</w:t>
      </w:r>
      <w:r w:rsidR="00D6696D">
        <w:rPr>
          <w:szCs w:val="24"/>
        </w:rPr>
        <w:t xml:space="preserve"> </w:t>
      </w:r>
      <w:r w:rsidR="00157CF0">
        <w:rPr>
          <w:szCs w:val="24"/>
        </w:rPr>
        <w:t>Art. 5 Abs. 1 Satz 2 GG und der daraus abzuleitende Staatsferne unter Berücksichtigung der Rechtsprechung des Bundesverfassungsgerichts</w:t>
      </w:r>
      <w:r w:rsidR="00D6696D">
        <w:rPr>
          <w:szCs w:val="24"/>
        </w:rPr>
        <w:t xml:space="preserve"> dargestellt</w:t>
      </w:r>
      <w:r w:rsidR="00E73234">
        <w:rPr>
          <w:szCs w:val="24"/>
        </w:rPr>
        <w:t xml:space="preserve"> (B). Sodann wird dargelegt, w</w:t>
      </w:r>
      <w:r w:rsidR="00157CF0">
        <w:rPr>
          <w:szCs w:val="24"/>
        </w:rPr>
        <w:t>as daraus für die Wahl der Direktorin bzw. des Direktors folgt und welche Folgen dies für die Verfassungsmäßigkeit bzw. Verfassungswidrigkeit des § 58 SMG hat</w:t>
      </w:r>
      <w:r w:rsidR="005466B7" w:rsidRPr="00E73234">
        <w:rPr>
          <w:szCs w:val="24"/>
        </w:rPr>
        <w:t xml:space="preserve"> (C).</w:t>
      </w:r>
      <w:r w:rsidR="00157CF0">
        <w:rPr>
          <w:szCs w:val="24"/>
        </w:rPr>
        <w:t xml:space="preserve"> </w:t>
      </w:r>
      <w:r w:rsidR="00EB625C">
        <w:rPr>
          <w:szCs w:val="24"/>
        </w:rPr>
        <w:t>Schließlich</w:t>
      </w:r>
      <w:r w:rsidR="00157CF0">
        <w:rPr>
          <w:szCs w:val="24"/>
        </w:rPr>
        <w:t xml:space="preserve"> wird kurz </w:t>
      </w:r>
      <w:r w:rsidR="00587BCE">
        <w:rPr>
          <w:szCs w:val="24"/>
        </w:rPr>
        <w:t>erörtert</w:t>
      </w:r>
      <w:r w:rsidR="00157CF0">
        <w:rPr>
          <w:szCs w:val="24"/>
        </w:rPr>
        <w:t>, auf welchem Weg die Verfassungswidrigkeit der Vorschrift geltend gemacht und verbindlich festgestellt werden kann</w:t>
      </w:r>
      <w:r w:rsidR="00E96DC5">
        <w:rPr>
          <w:szCs w:val="24"/>
        </w:rPr>
        <w:t xml:space="preserve"> (</w:t>
      </w:r>
      <w:r w:rsidR="00EB625C">
        <w:rPr>
          <w:szCs w:val="24"/>
        </w:rPr>
        <w:t>D</w:t>
      </w:r>
      <w:r w:rsidR="00E96DC5">
        <w:rPr>
          <w:szCs w:val="24"/>
        </w:rPr>
        <w:t>).</w:t>
      </w:r>
      <w:r w:rsidR="005466B7" w:rsidRPr="00E73234">
        <w:rPr>
          <w:szCs w:val="24"/>
        </w:rPr>
        <w:t xml:space="preserve"> Zuletzt folgt eine Zusammenfassung der Ergebnisse in Thesen (</w:t>
      </w:r>
      <w:r w:rsidR="00EB625C">
        <w:rPr>
          <w:szCs w:val="24"/>
        </w:rPr>
        <w:t>E</w:t>
      </w:r>
      <w:r w:rsidR="005466B7" w:rsidRPr="00E73234">
        <w:rPr>
          <w:szCs w:val="24"/>
        </w:rPr>
        <w:t>).</w:t>
      </w:r>
      <w:r w:rsidR="0029057E">
        <w:rPr>
          <w:szCs w:val="24"/>
        </w:rPr>
        <w:t xml:space="preserve"> Auf die Frage</w:t>
      </w:r>
      <w:r w:rsidR="00EB625C">
        <w:rPr>
          <w:szCs w:val="24"/>
        </w:rPr>
        <w:t>n</w:t>
      </w:r>
      <w:r w:rsidR="0029057E">
        <w:rPr>
          <w:szCs w:val="24"/>
        </w:rPr>
        <w:t>, ob</w:t>
      </w:r>
      <w:r w:rsidR="00EB625C">
        <w:rPr>
          <w:szCs w:val="24"/>
        </w:rPr>
        <w:t xml:space="preserve"> die Auslegung der Vorschrift durch das VG des Saarlandes mit den Vorgaben des Art. 33 Abs. 2 GG vereinbar ist </w:t>
      </w:r>
      <w:r w:rsidR="0029057E">
        <w:rPr>
          <w:szCs w:val="24"/>
        </w:rPr>
        <w:t>und inwieweit bei der Wahl der amtierenden Direktorin die einfachgesetzlichen Vorgaben de</w:t>
      </w:r>
      <w:r w:rsidR="00EB625C">
        <w:rPr>
          <w:szCs w:val="24"/>
        </w:rPr>
        <w:t>r</w:t>
      </w:r>
      <w:r w:rsidR="0029057E">
        <w:rPr>
          <w:szCs w:val="24"/>
        </w:rPr>
        <w:t xml:space="preserve"> § 58 Abs.</w:t>
      </w:r>
      <w:r w:rsidR="00EB625C">
        <w:rPr>
          <w:szCs w:val="24"/>
        </w:rPr>
        <w:t xml:space="preserve"> 1,</w:t>
      </w:r>
      <w:r w:rsidR="0029057E">
        <w:rPr>
          <w:szCs w:val="24"/>
        </w:rPr>
        <w:t xml:space="preserve"> 3 SMG missachtet wurden, wird nicht eingegangen.</w:t>
      </w:r>
    </w:p>
    <w:p w14:paraId="016ABEB4" w14:textId="68699B25" w:rsidR="005466B7" w:rsidRDefault="005466B7" w:rsidP="009B5AE2">
      <w:pPr>
        <w:pStyle w:val="berschrift1"/>
      </w:pPr>
      <w:r w:rsidRPr="000B43F1">
        <w:t>Vorgaben</w:t>
      </w:r>
      <w:r>
        <w:t xml:space="preserve"> de</w:t>
      </w:r>
      <w:r w:rsidR="00262C97">
        <w:t>r</w:t>
      </w:r>
      <w:r w:rsidR="00D6696D">
        <w:t xml:space="preserve"> </w:t>
      </w:r>
      <w:r w:rsidR="00262C97">
        <w:t>Rundfunkfreiheit und der Grundsatz der Staatsferne</w:t>
      </w:r>
    </w:p>
    <w:p w14:paraId="3671B854" w14:textId="1F2DEE09" w:rsidR="00262C97" w:rsidRDefault="00262C97" w:rsidP="00262C97">
      <w:pPr>
        <w:pStyle w:val="berschrift2"/>
      </w:pPr>
      <w:r>
        <w:t>Allgemeines</w:t>
      </w:r>
    </w:p>
    <w:p w14:paraId="4011A2AA" w14:textId="579B9A76" w:rsidR="0029057E" w:rsidRPr="0029057E" w:rsidRDefault="0029057E" w:rsidP="0029057E">
      <w:r>
        <w:t>Um beurteilen zu können, ob die in § 58 Abs. 1, 3 SMG vorgesehene Wahl der Direktorin bzw. des Direktors der Landesmedienanstalt Saarland durch den Landtag gegen die Rundfunkfreiheit des Art. 5 Abs. 1 Satz 2 GG verstößt, ist es notwendig, die zentralen Vorgaben dieser Gewährleistung, insbesondere den daraus abgeleite</w:t>
      </w:r>
      <w:r w:rsidR="00C71842">
        <w:t>te</w:t>
      </w:r>
      <w:r>
        <w:t>n Grundsatz der Staatsferne</w:t>
      </w:r>
      <w:r w:rsidR="00587BCE">
        <w:t>,</w:t>
      </w:r>
      <w:r>
        <w:t xml:space="preserve"> </w:t>
      </w:r>
      <w:r w:rsidR="00C71842">
        <w:t>kurz darzustellen. Danach kann die Bestimmung des § 58 Abs. 1, 3 SMG an diesen Vorgaben gemessen werden.</w:t>
      </w:r>
    </w:p>
    <w:p w14:paraId="3F247EC8" w14:textId="228E56D2" w:rsidR="00262C97" w:rsidRDefault="00262C97" w:rsidP="00262C97">
      <w:r>
        <w:t>Die Rundfunkfreiheit ist in Art. 5 Abs. 1 Satz 2 GG normiert. Aus dem knappen Wortlaut “Freiheit der Berichterstattung durch Rundfunk” hat das Bundesverfassungsgericht detaillierte Vorgaben für die Medien</w:t>
      </w:r>
      <w:r w:rsidR="00C71842">
        <w:t>ordnung</w:t>
      </w:r>
      <w:r>
        <w:t xml:space="preserve"> in Deutschland </w:t>
      </w:r>
      <w:r w:rsidR="00C71842">
        <w:t>abgeleitet</w:t>
      </w:r>
      <w:r>
        <w:t xml:space="preserve">. Diese wurden vor allem in den grundlegenden zwölf </w:t>
      </w:r>
      <w:r w:rsidRPr="000418F3">
        <w:rPr>
          <w:b/>
        </w:rPr>
        <w:t>Rundfunkurteilen</w:t>
      </w:r>
      <w:r>
        <w:t xml:space="preserve"> des Bundesverfassungsgerichts</w:t>
      </w:r>
      <w:r>
        <w:rPr>
          <w:rStyle w:val="Funotenzeichen"/>
        </w:rPr>
        <w:footnoteReference w:id="9"/>
      </w:r>
      <w:r>
        <w:t xml:space="preserve"> entwickelt und betreffen neben den Grundprinzipien der dualen Rundfunkordnung,</w:t>
      </w:r>
      <w:r w:rsidR="00C71842">
        <w:rPr>
          <w:rStyle w:val="Funotenzeichen"/>
        </w:rPr>
        <w:footnoteReference w:id="10"/>
      </w:r>
      <w:r>
        <w:t xml:space="preserve"> den Grundlagen der Finanzierung des öffentlich-rechtlichen Rundfunks</w:t>
      </w:r>
      <w:r w:rsidR="00C71842">
        <w:rPr>
          <w:rStyle w:val="Funotenzeichen"/>
        </w:rPr>
        <w:footnoteReference w:id="11"/>
      </w:r>
      <w:r>
        <w:t xml:space="preserve"> sowie seinen Aufgaben in der </w:t>
      </w:r>
      <w:r>
        <w:lastRenderedPageBreak/>
        <w:t>digitalen Welt auch und gerade die Staatsferne des Rundfunks.</w:t>
      </w:r>
      <w:r w:rsidR="008B3EB7">
        <w:rPr>
          <w:rStyle w:val="Funotenzeichen"/>
        </w:rPr>
        <w:footnoteReference w:id="12"/>
      </w:r>
      <w:r>
        <w:t xml:space="preserve"> Trotz des Wortlauts geht das Bundesverfassungsgericht</w:t>
      </w:r>
      <w:r>
        <w:rPr>
          <w:rStyle w:val="Funotenzeichen"/>
        </w:rPr>
        <w:footnoteReference w:id="13"/>
      </w:r>
      <w:r>
        <w:t xml:space="preserve"> davon aus, dass nicht nur die Freiheit der Berichterstattung, sondern die Rundfunkfreiheit insgesamt geschützt ist. Diese hat den gleichen Umfang wie die Pressefreiheit, reicht also von der Recherche bis zur Ausstrahlung der Nachricht und Meinung.</w:t>
      </w:r>
    </w:p>
    <w:p w14:paraId="49A57B26" w14:textId="019A85D2" w:rsidR="005F6DA6" w:rsidRDefault="005F6DA6" w:rsidP="005F6DA6">
      <w:pPr>
        <w:pStyle w:val="berschrift2"/>
      </w:pPr>
      <w:r>
        <w:t>Die Staatsferne als Strukturprinzip der Rundfunkfreiheit</w:t>
      </w:r>
    </w:p>
    <w:p w14:paraId="0CD5F426" w14:textId="368F230E" w:rsidR="0047468D" w:rsidRDefault="0047468D" w:rsidP="0047468D">
      <w:pPr>
        <w:pStyle w:val="berschrift3"/>
      </w:pPr>
      <w:r>
        <w:t>Staatsferne, Vielfaltssicherung und gesetzliche Ausgestaltungsbedürftigkeit der Rundfunkfreiheit</w:t>
      </w:r>
    </w:p>
    <w:p w14:paraId="08E4561E" w14:textId="77D3A10A" w:rsidR="005F6DA6" w:rsidRDefault="00262C97" w:rsidP="00262C97">
      <w:r w:rsidRPr="008C73DB">
        <w:t xml:space="preserve">Das Bundesverfassungsgericht sieht in der Staatsferne des Rundfunks ein </w:t>
      </w:r>
      <w:r w:rsidRPr="00FE3EC2">
        <w:rPr>
          <w:b/>
        </w:rPr>
        <w:t>Strukturprinzip</w:t>
      </w:r>
      <w:r w:rsidRPr="008C73DB">
        <w:t xml:space="preserve"> der Rundfunkfreiheit</w:t>
      </w:r>
      <w:r w:rsidRPr="008C73DB">
        <w:rPr>
          <w:rStyle w:val="Funotenzeichen"/>
        </w:rPr>
        <w:footnoteReference w:id="14"/>
      </w:r>
      <w:r w:rsidRPr="008C73DB">
        <w:t xml:space="preserve"> und eine wichtige Schutz- und Abwehrfunktion für die Veranstalter in einem demokratischen Staatswesen. Dieses Gebot der Staatsferne versteht das Bundesverfassungsgericht als Ausprägung der Vielfalt</w:t>
      </w:r>
      <w:r w:rsidR="005F6DA6">
        <w:t>s</w:t>
      </w:r>
      <w:r w:rsidRPr="008C73DB">
        <w:t>sicherung. Wenn der Rundfunk zwischen Staat und Bürger in einem freien und individuellen und vielfaltsorientierten Meinungsbildungsprozess vermitteln soll, dann muss dieser Vermittlungsprozess frei und ungesteuert ablaufen. Der Staat darf insbesondere nicht an der publizistischen Funktion des Rundfunks mitwirken, er darf sich etwa nicht in die Programmgestaltung oder sonstige Belange des Rundfunks einmischen, oder diesen beeinträchtigen oder ihn gar instrumentalisieren oder</w:t>
      </w:r>
      <w:r>
        <w:t xml:space="preserve"> </w:t>
      </w:r>
      <w:r w:rsidRPr="008C73DB">
        <w:t>beherrschen.</w:t>
      </w:r>
      <w:r w:rsidRPr="008C73DB">
        <w:rPr>
          <w:rStyle w:val="funotenziffer"/>
          <w:rFonts w:ascii="Times New Roman" w:hAnsi="Times New Roman"/>
        </w:rPr>
        <w:footnoteReference w:id="15"/>
      </w:r>
      <w:r w:rsidRPr="008C73DB">
        <w:t xml:space="preserve"> </w:t>
      </w:r>
    </w:p>
    <w:p w14:paraId="2349A2F8" w14:textId="33FC786E" w:rsidR="00B43B50" w:rsidRDefault="005F6DA6" w:rsidP="00262C97">
      <w:r>
        <w:t>Auf der anderen Seite ist der Staat nach ständiger Rechtsprechung des Bundesverfassungsgerichts dazu aufgerufen, die Rundfunkfreiheit gesetzlich auszugestalten.</w:t>
      </w:r>
      <w:r w:rsidR="00B43B50">
        <w:rPr>
          <w:rStyle w:val="Funotenzeichen"/>
        </w:rPr>
        <w:footnoteReference w:id="16"/>
      </w:r>
      <w:r>
        <w:t xml:space="preserve"> </w:t>
      </w:r>
      <w:r w:rsidR="00B43B50">
        <w:t>Er muss eine positive Rundfunkordnung zu schaffen, in welcher die Vielfalt der bestehenden Meinungen im Rundfunk möglichst breit und vollständig vermittelt wird,</w:t>
      </w:r>
      <w:r w:rsidR="00B43B50">
        <w:rPr>
          <w:rStyle w:val="Funotenzeichen"/>
        </w:rPr>
        <w:footnoteReference w:id="17"/>
      </w:r>
      <w:r w:rsidR="00B43B50">
        <w:t xml:space="preserve"> die Bürger in einem umfassenden Sinne informiert werden</w:t>
      </w:r>
      <w:bookmarkStart w:id="3" w:name="_Ref393290254"/>
      <w:r w:rsidR="00B43B50">
        <w:t>,</w:t>
      </w:r>
      <w:r w:rsidR="00B43B50">
        <w:rPr>
          <w:rStyle w:val="Funotenzeichen"/>
        </w:rPr>
        <w:footnoteReference w:id="18"/>
      </w:r>
      <w:bookmarkEnd w:id="3"/>
      <w:r w:rsidR="00B43B50">
        <w:t xml:space="preserve"> </w:t>
      </w:r>
      <w:r w:rsidR="00B43B50" w:rsidRPr="0021561A">
        <w:t>Meinungs- und politische Willensbildung</w:t>
      </w:r>
      <w:r w:rsidR="00B43B50">
        <w:t xml:space="preserve"> sowie </w:t>
      </w:r>
      <w:r w:rsidR="00B43B50" w:rsidRPr="0021561A">
        <w:t>Unterhaltung</w:t>
      </w:r>
      <w:r w:rsidR="00B43B50">
        <w:t xml:space="preserve"> stattfindet und</w:t>
      </w:r>
      <w:r w:rsidR="00B43B50" w:rsidRPr="0021561A">
        <w:t xml:space="preserve"> über </w:t>
      </w:r>
      <w:r w:rsidR="00B43B50">
        <w:t xml:space="preserve">die </w:t>
      </w:r>
      <w:r w:rsidR="00B43B50" w:rsidRPr="0021561A">
        <w:lastRenderedPageBreak/>
        <w:t>laufende Berichterstattung hinaus</w:t>
      </w:r>
      <w:r w:rsidR="00B43B50">
        <w:t xml:space="preserve"> der Rundfunk seiner </w:t>
      </w:r>
      <w:r w:rsidR="00B43B50" w:rsidRPr="0021561A">
        <w:t>kulturelle</w:t>
      </w:r>
      <w:r w:rsidR="00B43B50">
        <w:t>n</w:t>
      </w:r>
      <w:r w:rsidR="00B43B50" w:rsidRPr="0021561A">
        <w:t xml:space="preserve"> Verantwortung </w:t>
      </w:r>
      <w:r w:rsidR="00B43B50">
        <w:t>gerecht wird</w:t>
      </w:r>
      <w:bookmarkStart w:id="4" w:name="_Ref394059059"/>
      <w:r w:rsidR="00B43B50">
        <w:t>.</w:t>
      </w:r>
      <w:r w:rsidR="00B43B50">
        <w:rPr>
          <w:rStyle w:val="Funotenzeichen"/>
        </w:rPr>
        <w:footnoteReference w:id="19"/>
      </w:r>
      <w:bookmarkEnd w:id="4"/>
    </w:p>
    <w:p w14:paraId="77A4DDD6" w14:textId="533F1093" w:rsidR="001C0B59" w:rsidRDefault="001C0B59" w:rsidP="00262C97">
      <w:r>
        <w:t>Dies folgt nach ständiger und überzeugender, wenn auch nicht unumstrittene</w:t>
      </w:r>
      <w:bookmarkStart w:id="5" w:name="_Ref402175425"/>
      <w:r>
        <w:t>r</w:t>
      </w:r>
      <w:r>
        <w:rPr>
          <w:rStyle w:val="Funotenzeichen"/>
        </w:rPr>
        <w:footnoteReference w:id="20"/>
      </w:r>
      <w:bookmarkEnd w:id="5"/>
      <w:r>
        <w:t xml:space="preserve"> Rechtsprechung des Bundesverfassungsgerichts daraus, dass es sich bei der Rundfunkfreiheit um eine </w:t>
      </w:r>
      <w:r w:rsidRPr="00110699">
        <w:rPr>
          <w:i/>
        </w:rPr>
        <w:t>„</w:t>
      </w:r>
      <w:r w:rsidRPr="001C0B59">
        <w:rPr>
          <w:b/>
          <w:bCs/>
          <w:iCs/>
        </w:rPr>
        <w:t>dienende</w:t>
      </w:r>
      <w:r w:rsidRPr="00110699">
        <w:rPr>
          <w:i/>
        </w:rPr>
        <w:t xml:space="preserve"> </w:t>
      </w:r>
      <w:r w:rsidRPr="001C0B59">
        <w:rPr>
          <w:b/>
          <w:bCs/>
          <w:iCs/>
        </w:rPr>
        <w:t>Freiheit</w:t>
      </w:r>
      <w:r w:rsidRPr="00110699">
        <w:rPr>
          <w:i/>
        </w:rPr>
        <w:t>“</w:t>
      </w:r>
      <w:r>
        <w:t xml:space="preserve"> und damit um ein</w:t>
      </w:r>
      <w:r w:rsidRPr="00FE4EF0">
        <w:t xml:space="preserve"> </w:t>
      </w:r>
      <w:r>
        <w:t xml:space="preserve">in </w:t>
      </w:r>
      <w:r w:rsidRPr="00FE4EF0">
        <w:t xml:space="preserve">erster Linie </w:t>
      </w:r>
      <w:proofErr w:type="spellStart"/>
      <w:r w:rsidRPr="00FE4EF0">
        <w:t>drittnütziges</w:t>
      </w:r>
      <w:proofErr w:type="spellEnd"/>
      <w:r w:rsidRPr="00FE4EF0">
        <w:t xml:space="preserve"> Freiheitsrecht</w:t>
      </w:r>
      <w:r>
        <w:t xml:space="preserve"> handelt</w:t>
      </w:r>
      <w:r w:rsidRPr="00FE4EF0">
        <w:t>, das der freien, individuellen und öffentlichen Meinungsbildung dient</w:t>
      </w:r>
      <w:bookmarkStart w:id="6" w:name="_Ref402175500"/>
      <w:r>
        <w:t>.</w:t>
      </w:r>
      <w:r>
        <w:rPr>
          <w:rStyle w:val="Funotenzeichen"/>
        </w:rPr>
        <w:footnoteReference w:id="21"/>
      </w:r>
      <w:bookmarkEnd w:id="6"/>
    </w:p>
    <w:p w14:paraId="00F35D3D" w14:textId="34D48CBC" w:rsidR="0047468D" w:rsidRDefault="001C0B59" w:rsidP="00AD291F">
      <w:r>
        <w:t xml:space="preserve">Der Staat bewegt sich also in dem Spannungsverhältnis, dass er einerseits die Rundfunkfreiheit gesetzlich ausgestalten muss, aber sich dabei andererseits </w:t>
      </w:r>
      <w:r w:rsidRPr="008C73DB">
        <w:t>nicht in die Programmgestaltung oder sonstige Belange des Rundfunks einmischen, oder diesen beeinträchtigen oder ihn gar instrumentalisieren oder</w:t>
      </w:r>
      <w:r>
        <w:t xml:space="preserve"> </w:t>
      </w:r>
      <w:r w:rsidRPr="008C73DB">
        <w:t>beherrschen</w:t>
      </w:r>
      <w:r>
        <w:t xml:space="preserve"> darf. </w:t>
      </w:r>
      <w:r w:rsidR="00262C97" w:rsidRPr="008C73DB">
        <w:t>Daher spricht man</w:t>
      </w:r>
      <w:r>
        <w:t xml:space="preserve"> insoweit</w:t>
      </w:r>
      <w:r w:rsidR="00262C97" w:rsidRPr="008C73DB">
        <w:t xml:space="preserve"> zutreffend vom Grundsatz der Staatsferne,</w:t>
      </w:r>
      <w:r w:rsidR="005F6DA6" w:rsidRPr="008C73DB">
        <w:rPr>
          <w:rStyle w:val="funotenziffer"/>
          <w:rFonts w:ascii="Times New Roman" w:hAnsi="Times New Roman"/>
        </w:rPr>
        <w:footnoteReference w:id="22"/>
      </w:r>
      <w:r w:rsidR="00262C97" w:rsidRPr="008C73DB">
        <w:t xml:space="preserve"> auch wenn das Bundesverfassungsgericht in früheren Entscheidungen</w:t>
      </w:r>
      <w:r w:rsidR="005F6DA6" w:rsidRPr="008C73DB">
        <w:rPr>
          <w:rStyle w:val="funotenziffer"/>
          <w:rFonts w:ascii="Times New Roman" w:hAnsi="Times New Roman"/>
        </w:rPr>
        <w:footnoteReference w:id="23"/>
      </w:r>
      <w:r w:rsidR="00262C97" w:rsidRPr="008C73DB">
        <w:t xml:space="preserve"> den Begriff „Staatsfreiheit“ vorzog.</w:t>
      </w:r>
      <w:r w:rsidR="00E55956">
        <w:t xml:space="preserve"> Dieses Gebot der Staatsferne konkretisiert das bei der gesetzlichen Ausgestaltung grundlegende Vielfaltsgebot in spezifischer Hinsicht und versieht es mit näheren Konturen.</w:t>
      </w:r>
      <w:r w:rsidR="00E55956">
        <w:rPr>
          <w:rStyle w:val="Funotenzeichen"/>
        </w:rPr>
        <w:footnoteReference w:id="24"/>
      </w:r>
      <w:r w:rsidR="00E55956">
        <w:t xml:space="preserve"> Was dies im Einzelnen bedeutet, hat das Bundesverfassungsgericht in mehreren Entscheidungen herausgearbeitet.</w:t>
      </w:r>
    </w:p>
    <w:p w14:paraId="7C768D80" w14:textId="205536F7" w:rsidR="0047468D" w:rsidRPr="0047468D" w:rsidRDefault="00AD291F" w:rsidP="0047468D">
      <w:pPr>
        <w:pStyle w:val="berschrift3"/>
      </w:pPr>
      <w:r>
        <w:t>Staatsferne und</w:t>
      </w:r>
      <w:r w:rsidR="0047468D">
        <w:t xml:space="preserve"> Beherrschungsverbot</w:t>
      </w:r>
    </w:p>
    <w:p w14:paraId="17ACA432" w14:textId="073A58EB" w:rsidR="0047468D" w:rsidRDefault="00AD291F" w:rsidP="00262C97">
      <w:r>
        <w:t>Diese Entscheidungen befassen sich überwiegend mit dem öffentlich-rechtlichen Rundfunk, enthalten aber auch generelle Aussagen. Insoweit betont das Bundesverfassungsgericht, dass eine</w:t>
      </w:r>
      <w:r w:rsidR="00581497">
        <w:t xml:space="preserve"> </w:t>
      </w:r>
      <w:r w:rsidR="00581497" w:rsidRPr="000825D4">
        <w:rPr>
          <w:b/>
          <w:bCs/>
        </w:rPr>
        <w:t>Indienstnahme des Rundfunks</w:t>
      </w:r>
      <w:r w:rsidR="00581497">
        <w:t xml:space="preserve"> mittels eines Zugriffs der Politik</w:t>
      </w:r>
      <w:r w:rsidR="00E55956">
        <w:t>, also</w:t>
      </w:r>
      <w:r w:rsidR="00581497">
        <w:t xml:space="preserve"> die Beherrschung des Rundfunks durch den Staat </w:t>
      </w:r>
      <w:r w:rsidR="00581497">
        <w:lastRenderedPageBreak/>
        <w:t>ausgeschlossen werden</w:t>
      </w:r>
      <w:r>
        <w:t xml:space="preserve"> muss</w:t>
      </w:r>
      <w:r w:rsidR="00581497">
        <w:t>.</w:t>
      </w:r>
      <w:r w:rsidR="00581497">
        <w:rPr>
          <w:rStyle w:val="Funotenzeichen"/>
        </w:rPr>
        <w:footnoteReference w:id="25"/>
      </w:r>
      <w:r w:rsidR="00581497">
        <w:t xml:space="preserve"> Daher darf der Staat auch nicht selbst Rundfunk veranstalten oder mittelbar eine Anstalt beherrschen. Diesem Grundsatz steht die öffentlich-rechtliche Organisationsform gerade nicht entgegen, denn die Begriffe “öffentlich-rechtlich” und “staatlich” sind nicht identisch.</w:t>
      </w:r>
      <w:r w:rsidR="00581497">
        <w:rPr>
          <w:rStyle w:val="Funotenzeichen"/>
        </w:rPr>
        <w:footnoteReference w:id="26"/>
      </w:r>
      <w:r w:rsidR="00581497">
        <w:t xml:space="preserve"> </w:t>
      </w:r>
    </w:p>
    <w:p w14:paraId="3F1BC4FF" w14:textId="7BD6044D" w:rsidR="002E5773" w:rsidRDefault="002E5773" w:rsidP="00262C97">
      <w:r w:rsidRPr="004620D2">
        <w:t xml:space="preserve">Der Grundsatz der Staatsferne erschöpft sich nach zutreffender Auffassung des </w:t>
      </w:r>
      <w:r>
        <w:t>Bundesverfassungsg</w:t>
      </w:r>
      <w:r w:rsidRPr="004620D2">
        <w:t xml:space="preserve">erichts nicht in einem </w:t>
      </w:r>
      <w:r w:rsidRPr="00FE3EC2">
        <w:rPr>
          <w:b/>
        </w:rPr>
        <w:t>Beherrschungsverbot</w:t>
      </w:r>
      <w:r w:rsidRPr="004620D2">
        <w:t>. Vielmehr ist es auch untersagt, dass der Staat bzw. staatliche und/oder parteipolitische Vertreter Einfluss auf Inhalt und Form der Programme gewinnen können.</w:t>
      </w:r>
      <w:r w:rsidRPr="004620D2">
        <w:rPr>
          <w:rStyle w:val="funotenziffer"/>
          <w:rFonts w:ascii="Times New Roman" w:hAnsi="Times New Roman"/>
        </w:rPr>
        <w:footnoteReference w:id="27"/>
      </w:r>
      <w:r>
        <w:t xml:space="preserve"> Vielmehr soll </w:t>
      </w:r>
      <w:r>
        <w:rPr>
          <w:szCs w:val="24"/>
        </w:rPr>
        <w:t>d</w:t>
      </w:r>
      <w:r w:rsidRPr="00DE5099">
        <w:rPr>
          <w:szCs w:val="24"/>
        </w:rPr>
        <w:t xml:space="preserve">as Gebot der </w:t>
      </w:r>
      <w:r>
        <w:rPr>
          <w:szCs w:val="24"/>
        </w:rPr>
        <w:t>Staatsferne</w:t>
      </w:r>
      <w:r w:rsidRPr="00DE5099">
        <w:rPr>
          <w:szCs w:val="24"/>
        </w:rPr>
        <w:t xml:space="preserve"> zugleich und zuvörderst eine politische </w:t>
      </w:r>
      <w:r w:rsidRPr="008B32F1">
        <w:rPr>
          <w:szCs w:val="24"/>
        </w:rPr>
        <w:t>Instrumentalisierung des Rundfunks verhindern</w:t>
      </w:r>
      <w:r>
        <w:rPr>
          <w:szCs w:val="24"/>
        </w:rPr>
        <w:t>.</w:t>
      </w:r>
      <w:r>
        <w:rPr>
          <w:rStyle w:val="Funotenzeichen"/>
          <w:szCs w:val="24"/>
        </w:rPr>
        <w:footnoteReference w:id="28"/>
      </w:r>
      <w:r w:rsidRPr="00821364">
        <w:rPr>
          <w:szCs w:val="24"/>
        </w:rPr>
        <w:t xml:space="preserve">. </w:t>
      </w:r>
      <w:r>
        <w:rPr>
          <w:szCs w:val="24"/>
        </w:rPr>
        <w:t>Daher ist Versuchen e</w:t>
      </w:r>
      <w:r w:rsidRPr="00821364">
        <w:rPr>
          <w:szCs w:val="24"/>
        </w:rPr>
        <w:t>inseitige</w:t>
      </w:r>
      <w:r>
        <w:rPr>
          <w:szCs w:val="24"/>
        </w:rPr>
        <w:t>r</w:t>
      </w:r>
      <w:r w:rsidRPr="00821364">
        <w:rPr>
          <w:szCs w:val="24"/>
        </w:rPr>
        <w:t xml:space="preserve"> politische</w:t>
      </w:r>
      <w:r>
        <w:rPr>
          <w:szCs w:val="24"/>
        </w:rPr>
        <w:t>r</w:t>
      </w:r>
      <w:r w:rsidRPr="00821364">
        <w:rPr>
          <w:szCs w:val="24"/>
        </w:rPr>
        <w:t xml:space="preserve"> Einflussnahmen</w:t>
      </w:r>
      <w:r>
        <w:rPr>
          <w:szCs w:val="24"/>
        </w:rPr>
        <w:t xml:space="preserve"> auf den Rundfunk</w:t>
      </w:r>
      <w:r w:rsidRPr="00821364">
        <w:rPr>
          <w:szCs w:val="24"/>
        </w:rPr>
        <w:t xml:space="preserve"> im Einzugsbereich</w:t>
      </w:r>
      <w:r w:rsidRPr="00DE5099">
        <w:rPr>
          <w:szCs w:val="24"/>
        </w:rPr>
        <w:t xml:space="preserve"> staatlicher Machtausübung durch geeignete institutionelle und verfahrensrechtliche Vorkehrungen entgegenzuwirken</w:t>
      </w:r>
      <w:r>
        <w:rPr>
          <w:rStyle w:val="Funotenzeichen"/>
          <w:szCs w:val="24"/>
        </w:rPr>
        <w:footnoteReference w:id="29"/>
      </w:r>
    </w:p>
    <w:p w14:paraId="5ABD9B17" w14:textId="01940C54" w:rsidR="0047468D" w:rsidRDefault="0047468D" w:rsidP="0047468D">
      <w:pPr>
        <w:pStyle w:val="berschrift3"/>
      </w:pPr>
      <w:r>
        <w:t>Staatsferne und Gremienzusammensetzung</w:t>
      </w:r>
    </w:p>
    <w:p w14:paraId="4D7A8E04" w14:textId="4856A96F" w:rsidR="009C3729" w:rsidRPr="00716549" w:rsidRDefault="002E5773" w:rsidP="009C3729">
      <w:r w:rsidRPr="00716549">
        <w:t xml:space="preserve">Was dies </w:t>
      </w:r>
      <w:r w:rsidR="009C3729" w:rsidRPr="00716549">
        <w:t xml:space="preserve">etwa für die Gremienzusammensetzung </w:t>
      </w:r>
      <w:r w:rsidRPr="00716549">
        <w:t xml:space="preserve">bedeutet, hat das Bundesverfassungsgericht </w:t>
      </w:r>
      <w:r w:rsidR="009C3729" w:rsidRPr="00716549">
        <w:t>im Einzelnen</w:t>
      </w:r>
      <w:r w:rsidRPr="00716549">
        <w:t xml:space="preserve"> herausgearbeitet.</w:t>
      </w:r>
      <w:r w:rsidR="009C3729" w:rsidRPr="00716549">
        <w:t xml:space="preserve"> Zwar schließt es der Grundsatz der Staatsferne nach der Rechtsprechung des Bundesverfassungsgerichts nicht aus, dass Benannte des Staates, auch aus den Parlamenten, und Vertreter politischer Parteien den </w:t>
      </w:r>
      <w:r w:rsidR="009C3729" w:rsidRPr="00716549">
        <w:rPr>
          <w:rStyle w:val="Medium"/>
          <w:color w:val="auto"/>
        </w:rPr>
        <w:t xml:space="preserve">Kontrollgremien </w:t>
      </w:r>
      <w:r w:rsidR="009C3729" w:rsidRPr="00716549">
        <w:t>öffentlich-rechtlicher Rundfunkanstalten</w:t>
      </w:r>
      <w:r w:rsidR="009C3729" w:rsidRPr="00716549">
        <w:rPr>
          <w:rStyle w:val="funotenziffer"/>
        </w:rPr>
        <w:footnoteReference w:id="30"/>
      </w:r>
      <w:r w:rsidR="009C3729" w:rsidRPr="00716549">
        <w:t xml:space="preserve"> und Landesmedienanstalten</w:t>
      </w:r>
      <w:r w:rsidR="009C3729" w:rsidRPr="00716549">
        <w:rPr>
          <w:rStyle w:val="funotenziffer"/>
        </w:rPr>
        <w:footnoteReference w:id="31"/>
      </w:r>
      <w:r w:rsidR="009C3729" w:rsidRPr="00716549">
        <w:t xml:space="preserve"> angehören. Mit der Entscheidung zum ZDF-Staatsvertrag</w:t>
      </w:r>
      <w:r w:rsidR="009C3729" w:rsidRPr="00716549">
        <w:rPr>
          <w:rStyle w:val="funotenziffer"/>
        </w:rPr>
        <w:footnoteReference w:id="32"/>
      </w:r>
      <w:r w:rsidR="009C3729" w:rsidRPr="00716549">
        <w:t xml:space="preserve"> hat das Bundesverfassungsgericht aber detaillierte Anforderungen an die </w:t>
      </w:r>
      <w:r w:rsidR="009C3729" w:rsidRPr="00716549">
        <w:rPr>
          <w:b/>
        </w:rPr>
        <w:t>Gremienzusammensetzung beim öffentlich-rechtlichen Rundfunk</w:t>
      </w:r>
      <w:r w:rsidR="009C3729" w:rsidRPr="00716549">
        <w:t xml:space="preserve"> entwickelt.</w:t>
      </w:r>
    </w:p>
    <w:p w14:paraId="3FAEE090" w14:textId="365E6C1A" w:rsidR="009C3729" w:rsidRPr="004620D2" w:rsidRDefault="009C3729" w:rsidP="009C3729">
      <w:r>
        <w:t>Insoweit</w:t>
      </w:r>
      <w:r w:rsidRPr="004620D2">
        <w:t xml:space="preserve"> ist es untersagt, dass der Staat bzw. staatliche und/oder parteipolitische Vertreter Einfluss auf Inhalt und Form der Programme gewinnen können.</w:t>
      </w:r>
      <w:r w:rsidRPr="004620D2">
        <w:rPr>
          <w:rStyle w:val="funotenziffer"/>
          <w:rFonts w:ascii="Times New Roman" w:hAnsi="Times New Roman"/>
        </w:rPr>
        <w:footnoteReference w:id="33"/>
      </w:r>
      <w:r w:rsidRPr="004620D2">
        <w:t xml:space="preserve"> Die </w:t>
      </w:r>
      <w:r w:rsidRPr="004620D2">
        <w:lastRenderedPageBreak/>
        <w:t>Gefahr eines solchen Einflusses muss bei den Regelungen über die Gremienzusammensetzung wirksam unterbunden werden. Gerade das Zusammenspiel von staatlichem und parteipolitischem Einfluss ist besonders zu beachten</w:t>
      </w:r>
      <w:r w:rsidR="009515A9">
        <w:t>,</w:t>
      </w:r>
      <w:r w:rsidRPr="004620D2">
        <w:rPr>
          <w:rStyle w:val="funotenziffer"/>
          <w:rFonts w:ascii="Times New Roman" w:hAnsi="Times New Roman"/>
        </w:rPr>
        <w:footnoteReference w:id="34"/>
      </w:r>
      <w:r w:rsidR="009515A9">
        <w:t xml:space="preserve"> da </w:t>
      </w:r>
      <w:r w:rsidR="009515A9" w:rsidRPr="004620D2">
        <w:t>die Neigung zur Instrumentalisierung des Rundfunks nicht nur bei der Regierung, sondern gerade auch bei den im Parlament vertretenen Parteien bestehen kann.</w:t>
      </w:r>
      <w:r w:rsidR="009515A9" w:rsidRPr="004620D2">
        <w:rPr>
          <w:rStyle w:val="funotenziffer"/>
          <w:rFonts w:ascii="Times New Roman" w:hAnsi="Times New Roman"/>
        </w:rPr>
        <w:footnoteReference w:id="35"/>
      </w:r>
    </w:p>
    <w:p w14:paraId="333208DC" w14:textId="7451ADFF" w:rsidR="00AD291F" w:rsidRDefault="009515A9" w:rsidP="00AD291F">
      <w:r>
        <w:t xml:space="preserve">Gremien können nicht nur durch ihre Programmaufsicht, sondern auch und gerade durch ihre Mitentscheidung bzw. Entscheidung bei der </w:t>
      </w:r>
      <w:r w:rsidRPr="00716549">
        <w:rPr>
          <w:b/>
          <w:bCs/>
        </w:rPr>
        <w:t>Auswahl von für das Programm relevante Leitungspositionen</w:t>
      </w:r>
      <w:r>
        <w:t>, wie Intendant, Programmdirektor oder Chefredakteur, Einfluss auf das Programm ausüben. Immerhin war der Ausgangspunkt des Streits um die Zusammensetzung der Aufsichtsgremien, der zur grundlegenden Entscheidung des Bundesverfassungsgerichts</w:t>
      </w:r>
      <w:r w:rsidR="00716549">
        <w:t xml:space="preserve"> </w:t>
      </w:r>
      <w:r w:rsidR="00716549" w:rsidRPr="004620D2">
        <w:t>zum ZDF-Staatsvertrag</w:t>
      </w:r>
      <w:r w:rsidR="00716549" w:rsidRPr="004620D2">
        <w:rPr>
          <w:rStyle w:val="funotenziffer"/>
          <w:rFonts w:ascii="Times New Roman" w:hAnsi="Times New Roman"/>
        </w:rPr>
        <w:footnoteReference w:id="36"/>
      </w:r>
      <w:r w:rsidR="00716549">
        <w:t xml:space="preserve"> führte,</w:t>
      </w:r>
      <w:r>
        <w:t xml:space="preserve"> die</w:t>
      </w:r>
      <w:r w:rsidRPr="006336BE">
        <w:t xml:space="preserve"> Entscheidung des ZDF-Verwaltungsrats, das Einvernehmen mit dem Vorschlag des Intendanten, Nikolaus Brender erneut zum ZDF-Chefredakteur zu berufen, nic</w:t>
      </w:r>
      <w:r>
        <w:t>ht herzustellen</w:t>
      </w:r>
      <w:r w:rsidR="008D1C34">
        <w:t>.</w:t>
      </w:r>
      <w:r w:rsidR="008D1C34">
        <w:rPr>
          <w:rStyle w:val="Funotenzeichen"/>
        </w:rPr>
        <w:footnoteReference w:id="37"/>
      </w:r>
      <w:r>
        <w:t xml:space="preserve"> Der ZDF-Verwaltungsrat setzte sich vor der Entscheidung des Bundesverfassungsgerichts aus fünf Vertretern der </w:t>
      </w:r>
      <w:r w:rsidRPr="00F67FE7">
        <w:rPr>
          <w:spacing w:val="2"/>
        </w:rPr>
        <w:t>Länder – darunter ein Vertreter aus Rheinland-Pfalz –, einem Vertreter des</w:t>
      </w:r>
      <w:r>
        <w:t xml:space="preserve"> Bundes und acht Mitgliedern, die vom Fernsehrat zu bestimmen waren, aber weder einer Regierung noch einer gesetzgebenden Körperschaft angehören durften, zusammen. Das Einvernehmen mit dem Verwaltungsrat, das für die Bestellung des Programmdirektors, des Verwaltungsdirektors und des Chefredakteurs erforderlich war und ist, konnte und kann nur mit qualifizierter Mehrheit von drei Fünfteln der gesetzlichen Mitglieder hergestellt werden, so dass nach der damaligen Zusammensetzung die sechs staatlichen Vertreter eine Sperrminorität besaßen. Das Bundesverfassungsgericht ging davon aus, dass der Grundsatz der Staatsferne auch bei der Besetzung des Verwaltungsrats zu beachten sei, weil er auch durch seine Beteiligung bei der Berufung des Programmdirektors, des Chefredakteurs und des Verwaltungsdirektors mittelbar Einfluss auf das Programm ausüben k</w:t>
      </w:r>
      <w:r w:rsidR="00716549">
        <w:t>a</w:t>
      </w:r>
      <w:r>
        <w:t>nn.</w:t>
      </w:r>
      <w:r w:rsidR="00726585">
        <w:rPr>
          <w:rStyle w:val="Funotenzeichen"/>
        </w:rPr>
        <w:footnoteReference w:id="38"/>
      </w:r>
    </w:p>
    <w:p w14:paraId="1A8A6741" w14:textId="6AACD380" w:rsidR="00716549" w:rsidRDefault="0084777A" w:rsidP="00716549">
      <w:r>
        <w:t>Bei der Gremienzusammensetzung ist</w:t>
      </w:r>
      <w:r w:rsidR="00716549">
        <w:t xml:space="preserve"> die </w:t>
      </w:r>
      <w:r w:rsidR="00716549" w:rsidRPr="0084777A">
        <w:rPr>
          <w:b/>
          <w:bCs/>
        </w:rPr>
        <w:t>Zahl der dem Staat zuzurechnenden Vertreter</w:t>
      </w:r>
      <w:r w:rsidR="00716549">
        <w:t xml:space="preserve"> in den Aufsichtsgremien der Rundfunkanstalten und deren Ausschüssen </w:t>
      </w:r>
      <w:r w:rsidR="00716549">
        <w:lastRenderedPageBreak/>
        <w:t xml:space="preserve">konsequent auf </w:t>
      </w:r>
      <w:r w:rsidR="00716549" w:rsidRPr="0084777A">
        <w:rPr>
          <w:b/>
          <w:bCs/>
        </w:rPr>
        <w:t>höchstens ein Drittel zu begrenzen</w:t>
      </w:r>
      <w:r w:rsidR="00716549">
        <w:t>.</w:t>
      </w:r>
      <w:r w:rsidR="00E57444">
        <w:rPr>
          <w:rStyle w:val="Funotenzeichen"/>
        </w:rPr>
        <w:footnoteReference w:id="39"/>
      </w:r>
      <w:r w:rsidR="00716549">
        <w:t xml:space="preserve"> Um zu bestimmen, wer als staatliches und staatsnahes Mitglied anzusehen ist, muss nach Auffassung des Senats eine funktionale Betrachtungsweise angelegt werden.</w:t>
      </w:r>
      <w:r w:rsidR="007E3F14">
        <w:rPr>
          <w:rStyle w:val="Funotenzeichen"/>
        </w:rPr>
        <w:footnoteReference w:id="40"/>
      </w:r>
      <w:r w:rsidR="00716549">
        <w:t xml:space="preserve"> Danach sind Personen dem staatlichen Bereich zuzuordnen, die staatlich-politische Entscheidungsmacht innehaben oder im Wettbewerb um ein hierauf gerichtetes öffentliches Amt oder Mandat stehen und insoweit in besonderer Weise auf die Zustimmung einer breiteren Öffentlichkeit verwiesen sind. Dazu rechnen nicht nur Mitglieder einer Regierung, Abgeordnete und politische Beamtinnen und Beamte, sondern auch Wahlbeamte in Leitungsfunktion wie insbesondere Bürgermeister oder Landräte.</w:t>
      </w:r>
      <w:r w:rsidR="007E3F14">
        <w:rPr>
          <w:rStyle w:val="Funotenzeichen"/>
        </w:rPr>
        <w:footnoteReference w:id="41"/>
      </w:r>
      <w:r w:rsidR="00716549">
        <w:t xml:space="preserve"> Zudem sind die von politischen Parteien entsandte Vertreter der Staatsbank zuzurechnen.</w:t>
      </w:r>
      <w:r w:rsidR="00A8606D">
        <w:rPr>
          <w:rStyle w:val="Funotenzeichen"/>
        </w:rPr>
        <w:footnoteReference w:id="42"/>
      </w:r>
      <w:r w:rsidR="00716549">
        <w:t xml:space="preserve"> Demgegenüber sind Personen, die von Hochschulen, aus der Richterschaft oder aus der funktionalen Selbstverwaltung wie etwa den Industrie- und Handelskammern in die Aufsichtsgremien entsandt werden, nicht als staatliche oder staatsnahe Mitglieder in diesem Sinne anzusehen.</w:t>
      </w:r>
      <w:r w:rsidR="00A8606D">
        <w:rPr>
          <w:rStyle w:val="Funotenzeichen"/>
        </w:rPr>
        <w:footnoteReference w:id="43"/>
      </w:r>
      <w:r w:rsidR="00716549">
        <w:t xml:space="preserve"> </w:t>
      </w:r>
    </w:p>
    <w:p w14:paraId="3BC9D70A" w14:textId="051289DC" w:rsidR="0084777A" w:rsidRDefault="00716549" w:rsidP="00716549">
      <w:r>
        <w:t>Darüber hinaus müssen die staatlichen und staatsnahen Vertreter die föderale und parteipolitische Vielfalt widerspiegeln; gerade auch kleinere politische Strömungen müssen einbezogen werden.</w:t>
      </w:r>
      <w:r w:rsidR="00A8606D">
        <w:rPr>
          <w:rStyle w:val="Funotenzeichen"/>
        </w:rPr>
        <w:footnoteReference w:id="44"/>
      </w:r>
      <w:r>
        <w:t xml:space="preserve"> </w:t>
      </w:r>
    </w:p>
    <w:p w14:paraId="27A9ABD6" w14:textId="1BE39DD6" w:rsidR="00AD291F" w:rsidRDefault="00716549" w:rsidP="00716549">
      <w:r>
        <w:t>Weder bei der Auswahl noch bei der Bestellung der staatsfernen Mitglieder dürften Vertreter der Exekutive einen bestimmenden Einfluss haben.</w:t>
      </w:r>
      <w:r w:rsidR="00A8606D">
        <w:rPr>
          <w:rStyle w:val="Funotenzeichen"/>
        </w:rPr>
        <w:footnoteReference w:id="45"/>
      </w:r>
      <w:r>
        <w:t xml:space="preserve"> Auch hat der Gesetzgeber durch Inkompatibilitätsregelungen sicherzustellen, dass die als staatsferne Mitglieder in die Aufsichtsgremien berufenen Personen in einer hinreichenden Distanz zu staatlich-politischen Entscheidungszusammenhängen stehen.</w:t>
      </w:r>
      <w:r w:rsidR="00AD7DEB">
        <w:rPr>
          <w:rStyle w:val="Funotenzeichen"/>
        </w:rPr>
        <w:footnoteReference w:id="46"/>
      </w:r>
      <w:r>
        <w:t xml:space="preserve"> Als weitere Absicherung in persönlicher Hinsicht ist den Gremienmitgliedern hinreichende persönliche Freiheit und Unabhängigk</w:t>
      </w:r>
      <w:r w:rsidR="0084777A">
        <w:t xml:space="preserve">eit </w:t>
      </w:r>
      <w:r w:rsidR="0084777A" w:rsidRPr="006336BE">
        <w:t>im Rahmen ihrer Aufgabenwahrung zuzusichern.</w:t>
      </w:r>
      <w:r w:rsidR="00AD7DEB">
        <w:rPr>
          <w:rStyle w:val="Funotenzeichen"/>
        </w:rPr>
        <w:footnoteReference w:id="47"/>
      </w:r>
      <w:r w:rsidR="0084777A" w:rsidRPr="006336BE">
        <w:t xml:space="preserve"> Schließlich habe der Gesetzgeber für die Gremienarbeit ein Mindestmaß an </w:t>
      </w:r>
      <w:r w:rsidR="0084777A" w:rsidRPr="00627935">
        <w:rPr>
          <w:b/>
          <w:bCs/>
        </w:rPr>
        <w:t>Transparenz</w:t>
      </w:r>
      <w:r w:rsidR="0084777A" w:rsidRPr="006336BE">
        <w:t xml:space="preserve"> zu gewährleisten, um eine </w:t>
      </w:r>
      <w:r w:rsidR="0084777A" w:rsidRPr="006336BE">
        <w:lastRenderedPageBreak/>
        <w:t>praktisch wirksame Ausgestaltung der Aufsichtsgremien und eine Kontrolle durch die Gesell</w:t>
      </w:r>
      <w:r w:rsidR="0084777A">
        <w:t>schaft gewährleisten zu können.</w:t>
      </w:r>
      <w:r w:rsidR="00762783">
        <w:rPr>
          <w:rStyle w:val="Funotenzeichen"/>
        </w:rPr>
        <w:footnoteReference w:id="48"/>
      </w:r>
    </w:p>
    <w:p w14:paraId="7F7F6C5B" w14:textId="25E783DF" w:rsidR="0084777A" w:rsidRDefault="0084777A" w:rsidP="00716549">
      <w:r>
        <w:t>Daraus wird deutlich, welche weitreichenden Anforderungen das Bundesverfassungsgericht aus der Staatsferne des Rundfunks für die Gremienzusammensetzung beim öffentlich-rechtlichen Rundfunk ableitet, um mögliche Gefahren einer indirekten staatlichen oder politischen Einflussnahme zu unterbinden.</w:t>
      </w:r>
      <w:r w:rsidR="007E3F14" w:rsidRPr="007E3F14">
        <w:rPr>
          <w:rStyle w:val="funotenziffer"/>
        </w:rPr>
        <w:t xml:space="preserve"> </w:t>
      </w:r>
      <w:r w:rsidR="007E3F14" w:rsidRPr="006336BE">
        <w:rPr>
          <w:rStyle w:val="funotenziffer"/>
        </w:rPr>
        <w:footnoteReference w:id="49"/>
      </w:r>
    </w:p>
    <w:p w14:paraId="0FDBDAA7" w14:textId="005FEEC5" w:rsidR="00591181" w:rsidRPr="00AD291F" w:rsidRDefault="00591181" w:rsidP="00716549">
      <w:r>
        <w:t xml:space="preserve">Die Länder haben den Vorgaben des Bundesverfassungsgerichts durch Änderungen der entsprechenden Gesetze bzw. Staatsverträge auch im Hinblick auf die Gremienzusammensetzung bei den Landesrundfunkanstalten und den </w:t>
      </w:r>
      <w:r w:rsidRPr="009E775E">
        <w:rPr>
          <w:b/>
        </w:rPr>
        <w:t>Landesmedienanstalten</w:t>
      </w:r>
      <w:r>
        <w:t xml:space="preserve"> Rechnung getragen. Lediglich beim MDR ist es bisher nicht gelungen, den MDR-StV entsprechend zu ändern, weil sich die drei beteiligten Länder aus anderen Gründen nicht auf eine Reform des Staatsvertrages einigen können.</w:t>
      </w:r>
    </w:p>
    <w:p w14:paraId="780E2A91" w14:textId="66F51108" w:rsidR="0047468D" w:rsidRDefault="0047468D" w:rsidP="0047468D">
      <w:pPr>
        <w:pStyle w:val="berschrift3"/>
      </w:pPr>
      <w:r>
        <w:t>Staatsferne und Finanzierung des öffentlich-rechtlichen Rundfunks</w:t>
      </w:r>
    </w:p>
    <w:p w14:paraId="6A68AD15" w14:textId="08011982" w:rsidR="00613C59" w:rsidRDefault="0084777A" w:rsidP="00613C59">
      <w:pPr>
        <w:rPr>
          <w:szCs w:val="24"/>
        </w:rPr>
      </w:pPr>
      <w:r>
        <w:t>D</w:t>
      </w:r>
      <w:r w:rsidR="0044696B">
        <w:t>a</w:t>
      </w:r>
      <w:r>
        <w:t>s</w:t>
      </w:r>
      <w:r w:rsidR="0044696B">
        <w:t xml:space="preserve"> Gebot der Staatsferne hat aber nicht nur</w:t>
      </w:r>
      <w:r>
        <w:t xml:space="preserve"> für die Zusammensetzung der Aufsichtsgremien</w:t>
      </w:r>
      <w:r w:rsidR="007F6384">
        <w:t>,</w:t>
      </w:r>
      <w:r w:rsidR="0044696B">
        <w:t xml:space="preserve"> sondern auch</w:t>
      </w:r>
      <w:r>
        <w:rPr>
          <w:szCs w:val="24"/>
        </w:rPr>
        <w:t xml:space="preserve"> im Hinblick auf die Finanzierung des öffentlich-rechtlichen Rundfunks erhebliche Bedeutung. </w:t>
      </w:r>
      <w:r w:rsidR="00613C59">
        <w:rPr>
          <w:szCs w:val="24"/>
        </w:rPr>
        <w:t xml:space="preserve">Auch dort gilt es, </w:t>
      </w:r>
      <w:r w:rsidR="00613C59" w:rsidRPr="00705A8A">
        <w:rPr>
          <w:szCs w:val="24"/>
        </w:rPr>
        <w:t>jede politische Instrumentalisierung des Rundfunks aus</w:t>
      </w:r>
      <w:r w:rsidR="00613C59">
        <w:rPr>
          <w:szCs w:val="24"/>
        </w:rPr>
        <w:t>zu</w:t>
      </w:r>
      <w:r w:rsidR="00613C59" w:rsidRPr="00705A8A">
        <w:rPr>
          <w:szCs w:val="24"/>
        </w:rPr>
        <w:t>schl</w:t>
      </w:r>
      <w:r w:rsidR="00613C59">
        <w:rPr>
          <w:szCs w:val="24"/>
        </w:rPr>
        <w:t>ießen</w:t>
      </w:r>
      <w:r w:rsidR="00613C59" w:rsidRPr="00705A8A">
        <w:rPr>
          <w:szCs w:val="24"/>
        </w:rPr>
        <w:t>.</w:t>
      </w:r>
      <w:r w:rsidR="00613C59">
        <w:rPr>
          <w:szCs w:val="24"/>
        </w:rPr>
        <w:t xml:space="preserve"> </w:t>
      </w:r>
      <w:r w:rsidR="00613C59" w:rsidRPr="00705A8A">
        <w:rPr>
          <w:szCs w:val="24"/>
        </w:rPr>
        <w:t>Der Schutz</w:t>
      </w:r>
      <w:r w:rsidR="00613C59">
        <w:rPr>
          <w:szCs w:val="24"/>
        </w:rPr>
        <w:t>, den die Staatsferne vermittelt,</w:t>
      </w:r>
      <w:r w:rsidR="00613C59" w:rsidRPr="00705A8A">
        <w:rPr>
          <w:szCs w:val="24"/>
        </w:rPr>
        <w:t xml:space="preserve"> bezieh</w:t>
      </w:r>
      <w:r w:rsidR="00613C59">
        <w:rPr>
          <w:szCs w:val="24"/>
        </w:rPr>
        <w:t>t</w:t>
      </w:r>
      <w:r w:rsidR="00613C59" w:rsidRPr="00705A8A">
        <w:rPr>
          <w:szCs w:val="24"/>
        </w:rPr>
        <w:t xml:space="preserve"> sich nicht nur auf die manifesten Gefahren unmittel</w:t>
      </w:r>
      <w:r w:rsidR="00613C59">
        <w:rPr>
          <w:szCs w:val="24"/>
        </w:rPr>
        <w:softHyphen/>
      </w:r>
      <w:r w:rsidR="00613C59" w:rsidRPr="00705A8A">
        <w:rPr>
          <w:szCs w:val="24"/>
        </w:rPr>
        <w:t>barer Lenkung oder Maßregelung des Rundfunks. Er umfa</w:t>
      </w:r>
      <w:r w:rsidR="00613C59">
        <w:rPr>
          <w:szCs w:val="24"/>
        </w:rPr>
        <w:t>sst</w:t>
      </w:r>
      <w:r w:rsidR="00613C59" w:rsidRPr="00705A8A">
        <w:rPr>
          <w:szCs w:val="24"/>
        </w:rPr>
        <w:t xml:space="preserve"> vielmehr auch die subtileren Mittel indirekter Einwirkung, mit denen sich staatliche Organe Einflu</w:t>
      </w:r>
      <w:r w:rsidR="00613C59">
        <w:rPr>
          <w:szCs w:val="24"/>
        </w:rPr>
        <w:t>ss</w:t>
      </w:r>
      <w:r w:rsidR="00613C59" w:rsidRPr="00705A8A">
        <w:rPr>
          <w:szCs w:val="24"/>
        </w:rPr>
        <w:t xml:space="preserve"> auf das Programm verschaffen oder Druck auf die im Rundfunk Tätigen ausüben könn</w:t>
      </w:r>
      <w:r w:rsidR="00613C59">
        <w:rPr>
          <w:szCs w:val="24"/>
        </w:rPr>
        <w:t>t</w:t>
      </w:r>
      <w:r w:rsidR="00613C59" w:rsidRPr="00705A8A">
        <w:rPr>
          <w:szCs w:val="24"/>
        </w:rPr>
        <w:t>en. Der Staat besitz</w:t>
      </w:r>
      <w:r w:rsidR="00613C59">
        <w:rPr>
          <w:szCs w:val="24"/>
        </w:rPr>
        <w:t>t</w:t>
      </w:r>
      <w:r w:rsidR="00613C59" w:rsidRPr="00705A8A">
        <w:rPr>
          <w:szCs w:val="24"/>
        </w:rPr>
        <w:t xml:space="preserve"> solche Mittel</w:t>
      </w:r>
      <w:r w:rsidR="00613C59">
        <w:rPr>
          <w:szCs w:val="24"/>
        </w:rPr>
        <w:t xml:space="preserve"> u.a.</w:t>
      </w:r>
      <w:r w:rsidR="00613C59" w:rsidRPr="00705A8A">
        <w:rPr>
          <w:szCs w:val="24"/>
        </w:rPr>
        <w:t xml:space="preserve"> </w:t>
      </w:r>
      <w:r w:rsidR="00613C59">
        <w:rPr>
          <w:szCs w:val="24"/>
        </w:rPr>
        <w:t xml:space="preserve">im Zusammenhang mit der Rundfunkfinanzierung. </w:t>
      </w:r>
      <w:r w:rsidR="00613C59" w:rsidRPr="00705A8A">
        <w:rPr>
          <w:szCs w:val="24"/>
        </w:rPr>
        <w:t>Die damit zwangs</w:t>
      </w:r>
      <w:r w:rsidR="00613C59">
        <w:rPr>
          <w:szCs w:val="24"/>
        </w:rPr>
        <w:t>l</w:t>
      </w:r>
      <w:r w:rsidR="00613C59" w:rsidRPr="00705A8A">
        <w:rPr>
          <w:szCs w:val="24"/>
        </w:rPr>
        <w:t>äufig eröffneten Einflu</w:t>
      </w:r>
      <w:r w:rsidR="00613C59">
        <w:rPr>
          <w:szCs w:val="24"/>
        </w:rPr>
        <w:t>ss</w:t>
      </w:r>
      <w:r w:rsidR="00613C59" w:rsidRPr="00705A8A">
        <w:rPr>
          <w:szCs w:val="24"/>
        </w:rPr>
        <w:t>möglichkeiten auf die publizistische Tätigkeit sol</w:t>
      </w:r>
      <w:r w:rsidR="00613C59">
        <w:rPr>
          <w:szCs w:val="24"/>
        </w:rPr>
        <w:t>l</w:t>
      </w:r>
      <w:r w:rsidR="00613C59" w:rsidRPr="00705A8A">
        <w:rPr>
          <w:szCs w:val="24"/>
        </w:rPr>
        <w:t>en so weit wie möglich ausgeschaltet werden.</w:t>
      </w:r>
      <w:r w:rsidR="00613C59">
        <w:rPr>
          <w:szCs w:val="24"/>
        </w:rPr>
        <w:t xml:space="preserve"> Insoweit weist das Bundesverfassungsgericht darauf hin, dass auch</w:t>
      </w:r>
      <w:r w:rsidR="00613C59" w:rsidRPr="00613C59">
        <w:rPr>
          <w:szCs w:val="24"/>
        </w:rPr>
        <w:t xml:space="preserve"> der Gesetzgeber eine Gefahrenquelle für die Rundfunkfreiheit</w:t>
      </w:r>
      <w:r w:rsidR="00613C59">
        <w:rPr>
          <w:szCs w:val="24"/>
        </w:rPr>
        <w:t xml:space="preserve"> bildet</w:t>
      </w:r>
      <w:r w:rsidR="00613C59" w:rsidRPr="00613C59">
        <w:rPr>
          <w:szCs w:val="24"/>
        </w:rPr>
        <w:t>, weil die Neigung zur Instrumentalisierung des Rundfunks nicht nur bei der Regierung, sondern auch bei den im Parlament vertretenen Parteien bestehen k</w:t>
      </w:r>
      <w:r w:rsidR="00613C59">
        <w:rPr>
          <w:szCs w:val="24"/>
        </w:rPr>
        <w:t>a</w:t>
      </w:r>
      <w:r w:rsidR="00613C59" w:rsidRPr="00613C59">
        <w:rPr>
          <w:szCs w:val="24"/>
        </w:rPr>
        <w:t>nn.</w:t>
      </w:r>
      <w:r w:rsidR="00613C59">
        <w:rPr>
          <w:rStyle w:val="Funotenzeichen"/>
          <w:szCs w:val="24"/>
        </w:rPr>
        <w:footnoteReference w:id="50"/>
      </w:r>
      <w:r w:rsidR="00613C59" w:rsidRPr="00613C59">
        <w:rPr>
          <w:szCs w:val="24"/>
        </w:rPr>
        <w:t xml:space="preserve"> </w:t>
      </w:r>
      <w:r w:rsidR="002B735C">
        <w:t xml:space="preserve">Auf der anderen Seite </w:t>
      </w:r>
      <w:r w:rsidR="002B735C">
        <w:lastRenderedPageBreak/>
        <w:t xml:space="preserve">lassen sich Kriterien dafür, was zur Funktionserfüllung an finanziellen Mitteln für den öffentlich-rechtlichen Rundfunk erforderlich ist, materiell-rechtlich nur ungenügend konkretisieren. </w:t>
      </w:r>
    </w:p>
    <w:p w14:paraId="38CE9012" w14:textId="2D404B14" w:rsidR="00853A0E" w:rsidRDefault="00062B86" w:rsidP="00062B86">
      <w:pPr>
        <w:rPr>
          <w:szCs w:val="24"/>
        </w:rPr>
      </w:pPr>
      <w:r>
        <w:rPr>
          <w:szCs w:val="24"/>
        </w:rPr>
        <w:t xml:space="preserve">Es besteht also ein gewisses Dilemma. </w:t>
      </w:r>
      <w:r w:rsidRPr="00062B86">
        <w:rPr>
          <w:szCs w:val="24"/>
        </w:rPr>
        <w:t>Daher knüpfte das Bundesverfassungsgericht zur Lösung des Dilemmas an den in anderen Zusammenhängen schon mehrfach fruchtbar gemachten Gedanken des Grundrechtsschutzes durch Verfahren an</w:t>
      </w:r>
      <w:r>
        <w:rPr>
          <w:rStyle w:val="Funotenzeichen"/>
          <w:szCs w:val="24"/>
        </w:rPr>
        <w:footnoteReference w:id="51"/>
      </w:r>
      <w:r>
        <w:rPr>
          <w:szCs w:val="24"/>
        </w:rPr>
        <w:t xml:space="preserve"> </w:t>
      </w:r>
      <w:r w:rsidRPr="00062B86">
        <w:rPr>
          <w:szCs w:val="24"/>
        </w:rPr>
        <w:t>und entwickelte daraus das gestufte Gebühren- bzw. Beitragsfestsetzungsverfahren</w:t>
      </w:r>
      <w:r>
        <w:rPr>
          <w:szCs w:val="24"/>
        </w:rPr>
        <w:t>.</w:t>
      </w:r>
      <w:r>
        <w:rPr>
          <w:rStyle w:val="Funotenzeichen"/>
          <w:szCs w:val="24"/>
        </w:rPr>
        <w:footnoteReference w:id="52"/>
      </w:r>
    </w:p>
    <w:p w14:paraId="168D0FCA" w14:textId="606C8BA6" w:rsidR="00062B86" w:rsidRDefault="00062B86" w:rsidP="00062B86">
      <w:pPr>
        <w:rPr>
          <w:szCs w:val="24"/>
        </w:rPr>
      </w:pPr>
      <w:r w:rsidRPr="009A1E62">
        <w:t xml:space="preserve">Danach wird ein </w:t>
      </w:r>
      <w:r w:rsidRPr="00C209E6">
        <w:rPr>
          <w:b/>
          <w:bCs/>
        </w:rPr>
        <w:t>dreistufiges Verfahren</w:t>
      </w:r>
      <w:r w:rsidRPr="009A1E62">
        <w:t xml:space="preserve"> aus Bedarfsanmeldung der Rundfunkanstalten, Prüfung der Anmeldung und Bedarfsfest</w:t>
      </w:r>
      <w:bookmarkStart w:id="7" w:name="225"/>
      <w:bookmarkEnd w:id="7"/>
      <w:r w:rsidRPr="009A1E62">
        <w:t>stellung durch ein politisch unabhängiges Fachgremium und abschließende</w:t>
      </w:r>
      <w:r>
        <w:t>r</w:t>
      </w:r>
      <w:r w:rsidRPr="009A1E62">
        <w:t xml:space="preserve"> Festsetzung der Gebühr durch den Rundfunkgesetzgeber</w:t>
      </w:r>
      <w:r>
        <w:t xml:space="preserve"> dem Anspruch der Rundfunkanstalten auf funktionsgerechte Finanzierung und dem Gebot der Staatsferne am ehesten gerecht.</w:t>
      </w:r>
    </w:p>
    <w:p w14:paraId="09BB16C9" w14:textId="77777777" w:rsidR="0063125A" w:rsidRDefault="00853A0E" w:rsidP="00613C59">
      <w:pPr>
        <w:rPr>
          <w:szCs w:val="24"/>
        </w:rPr>
      </w:pPr>
      <w:r>
        <w:rPr>
          <w:szCs w:val="24"/>
        </w:rPr>
        <w:t>Dabei kommt der Zwischenschaltung einer unabhängigen Sachverständigenkommission, also der Kommission zur Ermitt</w:t>
      </w:r>
      <w:r>
        <w:rPr>
          <w:szCs w:val="24"/>
        </w:rPr>
        <w:softHyphen/>
        <w:t>lung des Finanzbedarfs der Rundfunkanstalten (KEF), die entscheidende Rolle zu, um dysfunktionale Einflussnahmen von staatlicher Seite bei der Entscheidung der Länder über die Beitragshöhe zu verhindern.</w:t>
      </w:r>
      <w:r w:rsidR="0063125A">
        <w:rPr>
          <w:szCs w:val="24"/>
        </w:rPr>
        <w:t xml:space="preserve"> </w:t>
      </w:r>
    </w:p>
    <w:p w14:paraId="0024FF06" w14:textId="227A3C5F" w:rsidR="0063125A" w:rsidRDefault="0063125A" w:rsidP="00613C59">
      <w:pPr>
        <w:rPr>
          <w:szCs w:val="24"/>
        </w:rPr>
      </w:pPr>
      <w:r>
        <w:rPr>
          <w:szCs w:val="24"/>
        </w:rPr>
        <w:t>Dies</w:t>
      </w:r>
      <w:r w:rsidR="00062B86">
        <w:rPr>
          <w:szCs w:val="24"/>
        </w:rPr>
        <w:t xml:space="preserve"> </w:t>
      </w:r>
      <w:r>
        <w:rPr>
          <w:szCs w:val="24"/>
        </w:rPr>
        <w:t>setzt nach Auffassung des Bundesverfassungsgerichts voraus, dass die Kommission nicht nur unabhängig, sondern</w:t>
      </w:r>
      <w:r w:rsidR="007F4F98">
        <w:rPr>
          <w:szCs w:val="24"/>
        </w:rPr>
        <w:t xml:space="preserve"> im Interesse der Staatsferne</w:t>
      </w:r>
      <w:r>
        <w:rPr>
          <w:szCs w:val="24"/>
        </w:rPr>
        <w:t xml:space="preserve"> auch „</w:t>
      </w:r>
      <w:r w:rsidRPr="00F6142C">
        <w:rPr>
          <w:b/>
          <w:bCs/>
          <w:szCs w:val="24"/>
        </w:rPr>
        <w:t>rundfunk- und politikfrei</w:t>
      </w:r>
      <w:r>
        <w:rPr>
          <w:szCs w:val="24"/>
        </w:rPr>
        <w:t xml:space="preserve">“ </w:t>
      </w:r>
      <w:r w:rsidR="007F4F98">
        <w:rPr>
          <w:szCs w:val="24"/>
        </w:rPr>
        <w:t>zusammenge</w:t>
      </w:r>
      <w:r>
        <w:rPr>
          <w:szCs w:val="24"/>
        </w:rPr>
        <w:t>setzt ist.</w:t>
      </w:r>
      <w:r w:rsidR="007F4F98">
        <w:rPr>
          <w:rStyle w:val="Funotenzeichen"/>
          <w:szCs w:val="24"/>
        </w:rPr>
        <w:footnoteReference w:id="53"/>
      </w:r>
      <w:r>
        <w:rPr>
          <w:szCs w:val="24"/>
        </w:rPr>
        <w:t xml:space="preserve"> </w:t>
      </w:r>
      <w:r w:rsidR="007F4F98">
        <w:t>Wenn Vertreter des Staates und der Politik in der KEF mitwirken</w:t>
      </w:r>
      <w:r w:rsidR="007F4F98">
        <w:t xml:space="preserve"> dürften</w:t>
      </w:r>
      <w:r w:rsidR="007F4F98">
        <w:t xml:space="preserve">, </w:t>
      </w:r>
      <w:r w:rsidR="007F4F98">
        <w:t>könnte</w:t>
      </w:r>
      <w:r w:rsidR="007F4F98">
        <w:t xml:space="preserve"> die Schranke, die das Bundesverfassungsgericht durch die Einschaltung der Sachverständigenkommission gegenüber Staat und Politik errichtet haben, eingerissen zu werden.</w:t>
      </w:r>
      <w:r w:rsidR="00F6142C">
        <w:t xml:space="preserve"> Aus diesem Grunde</w:t>
      </w:r>
      <w:r w:rsidR="00F6142C" w:rsidRPr="00CF5483">
        <w:t xml:space="preserve"> </w:t>
      </w:r>
      <w:r w:rsidR="00F6142C">
        <w:t>soll</w:t>
      </w:r>
      <w:r w:rsidR="00F6142C">
        <w:t xml:space="preserve"> § 4 Abs. 3 RFinStV  die</w:t>
      </w:r>
      <w:r w:rsidR="00F6142C">
        <w:rPr>
          <w:b/>
          <w:bCs/>
        </w:rPr>
        <w:t xml:space="preserve"> </w:t>
      </w:r>
      <w:r w:rsidR="00F6142C" w:rsidRPr="00F6142C">
        <w:t>rundfunk- und politikfreie Besetzung</w:t>
      </w:r>
      <w:r w:rsidR="00F6142C">
        <w:t xml:space="preserve"> der KEF und damit die Staatsferne des Rundfunks</w:t>
      </w:r>
      <w:r w:rsidR="00F6142C">
        <w:t xml:space="preserve"> bei der Beitragsfestsetzung</w:t>
      </w:r>
      <w:r w:rsidR="00F6142C">
        <w:t xml:space="preserve"> sichern. In der zweiten Gebührenentscheidung hat das Bundesverfassungsgericht festgestellt, dass diese Vorschrift dazu grundsätzlich geeignet ist.</w:t>
      </w:r>
      <w:r w:rsidR="00F6142C">
        <w:rPr>
          <w:rStyle w:val="Funotenzeichen"/>
        </w:rPr>
        <w:footnoteReference w:id="54"/>
      </w:r>
      <w:r w:rsidR="00F6142C">
        <w:t xml:space="preserve"> Wegen des ZDF-Urteils des Bundesverfassungsgerichts</w:t>
      </w:r>
      <w:r w:rsidR="00F6142C">
        <w:rPr>
          <w:rStyle w:val="Funotenzeichen"/>
        </w:rPr>
        <w:footnoteReference w:id="55"/>
      </w:r>
      <w:r w:rsidR="00F6142C">
        <w:t xml:space="preserve"> sind aber die dort aufgeführten Inkompatibilitätstatbestände nicht abschließend zu verstehen, sondern müssen im </w:t>
      </w:r>
      <w:r w:rsidR="00F6142C">
        <w:lastRenderedPageBreak/>
        <w:t>Hinblick auf die Staatsferne mittels verfassungskonformer Auslegung ergänzt werden. Denn in diesem Urteil setzt sich das Bundeserfassungsgericht intensiv mit der Frage auseinander, welche Funktionsträger dem Staat bzw. der Politik zuzurechnen sind und weist ausdrücklich darauf hin, dass dazu insbesondere Bürgermeister oder Landräte zählen.</w:t>
      </w:r>
      <w:r w:rsidR="00F6142C">
        <w:rPr>
          <w:rStyle w:val="Funotenzeichen"/>
        </w:rPr>
        <w:footnoteReference w:id="56"/>
      </w:r>
      <w:r w:rsidR="00F6142C">
        <w:t xml:space="preserve"> In der Bestimmung des § 4 Abs. 3 RFinStV werden aber Bürgermeister und Landräte nicht aufgeführt und könnten also, wenn man die Aufzählung abschließend versteht, als Sachverständige in die KEF entsandt werden. Dass dies kein theoretisches Problem ist, wurde dadurch deutlich, dass </w:t>
      </w:r>
      <w:r w:rsidR="00F6142C" w:rsidRPr="00AC7F45">
        <w:rPr>
          <w:i/>
          <w:iCs/>
        </w:rPr>
        <w:t>Ulli Meyer</w:t>
      </w:r>
      <w:r w:rsidR="00F6142C">
        <w:t>, Oberbürgermeister der Stadt St. Ingbert, vom Saarland als Mitglied für die KEF benannt und von der Ministerpräsidentenkonferenz am 17.</w:t>
      </w:r>
      <w:r w:rsidR="000C3B26">
        <w:t>6.</w:t>
      </w:r>
      <w:r w:rsidR="00F6142C">
        <w:t>2020 berufen wurde. Diese Benennung und Berufung widersprechen dem Gebot der politikfreien Zusammensetzung, da Bürgermeister nach den eindeutigen Ausführungen des Bundesverfassungsgerichts der staatlichen Ebene zuzurechnen sind.</w:t>
      </w:r>
      <w:r w:rsidR="00F6142C">
        <w:rPr>
          <w:rStyle w:val="Funotenzeichen"/>
        </w:rPr>
        <w:footnoteReference w:id="57"/>
      </w:r>
      <w:r w:rsidR="00F6142C">
        <w:t xml:space="preserve"> Insoweit ist die KEF</w:t>
      </w:r>
      <w:r w:rsidR="00F6142C">
        <w:t xml:space="preserve"> seit 17. Juni 2020 </w:t>
      </w:r>
      <w:r w:rsidR="00F6142C">
        <w:t>nicht mehr in einer Weise besetzt, die den verfassungsrechtlichen Vorgaben entspricht.</w:t>
      </w:r>
    </w:p>
    <w:p w14:paraId="651E5E22" w14:textId="7123832E" w:rsidR="00F11C1E" w:rsidRDefault="00F6142C" w:rsidP="00F11C1E">
      <w:pPr>
        <w:rPr>
          <w:szCs w:val="24"/>
        </w:rPr>
      </w:pPr>
      <w:r>
        <w:rPr>
          <w:szCs w:val="24"/>
        </w:rPr>
        <w:t>Zudem</w:t>
      </w:r>
      <w:r w:rsidR="00062B86">
        <w:rPr>
          <w:szCs w:val="24"/>
        </w:rPr>
        <w:t xml:space="preserve"> kann </w:t>
      </w:r>
      <w:r>
        <w:rPr>
          <w:szCs w:val="24"/>
        </w:rPr>
        <w:t>eine Beachtung der Staatsferne bei der Festsetzung des Rundfunkbeitrags</w:t>
      </w:r>
      <w:r w:rsidR="00062B86">
        <w:rPr>
          <w:szCs w:val="24"/>
        </w:rPr>
        <w:t xml:space="preserve"> nur gelingen, wenn die Länder regelmäßig an den Vorschlag der KEF gebunden sind. </w:t>
      </w:r>
      <w:r w:rsidR="00F11C1E">
        <w:rPr>
          <w:szCs w:val="24"/>
        </w:rPr>
        <w:t xml:space="preserve">Daher sind </w:t>
      </w:r>
      <w:r w:rsidR="00F11C1E" w:rsidRPr="00F11C1E">
        <w:rPr>
          <w:szCs w:val="24"/>
        </w:rPr>
        <w:t xml:space="preserve">Abweichungen vom Gebühren- bzw. Beitragsvorschlag der KEF nach der Rechtsprechung des Bundesverfassungsgerichts nur in </w:t>
      </w:r>
      <w:r w:rsidR="00F11C1E" w:rsidRPr="00F11C1E">
        <w:rPr>
          <w:b/>
          <w:bCs/>
          <w:szCs w:val="24"/>
        </w:rPr>
        <w:t>begründeten</w:t>
      </w:r>
      <w:r w:rsidR="00F11C1E" w:rsidRPr="00F11C1E">
        <w:rPr>
          <w:szCs w:val="24"/>
        </w:rPr>
        <w:t xml:space="preserve"> </w:t>
      </w:r>
      <w:r w:rsidR="00F11C1E" w:rsidRPr="00F11C1E">
        <w:rPr>
          <w:b/>
          <w:bCs/>
          <w:szCs w:val="24"/>
        </w:rPr>
        <w:t>Ausnahmefällen</w:t>
      </w:r>
      <w:r w:rsidR="00F11C1E" w:rsidRPr="00F11C1E">
        <w:rPr>
          <w:szCs w:val="24"/>
        </w:rPr>
        <w:t xml:space="preserve"> zulässig. Diese Abweichungsgründe müssen vor der Rundfunkfreiheit Bestand haben und beschränken sich regelmäßig auf die Gesichtspunkte des Informationszugangs und der angemessenen Belastung der Beitragszahler.</w:t>
      </w:r>
      <w:r w:rsidR="00F11C1E">
        <w:rPr>
          <w:rStyle w:val="Funotenzeichen"/>
          <w:szCs w:val="24"/>
        </w:rPr>
        <w:footnoteReference w:id="58"/>
      </w:r>
      <w:r w:rsidR="00F11C1E">
        <w:rPr>
          <w:szCs w:val="24"/>
        </w:rPr>
        <w:t xml:space="preserve"> </w:t>
      </w:r>
      <w:r>
        <w:t>Darüber hinaus</w:t>
      </w:r>
      <w:r w:rsidR="00F11C1E">
        <w:t xml:space="preserve"> muss der Gesetzgeber die </w:t>
      </w:r>
      <w:r w:rsidR="00F11C1E" w:rsidRPr="00C209E6">
        <w:rPr>
          <w:b/>
          <w:bCs/>
        </w:rPr>
        <w:t>Abweichungsgründe nachvollziehbar benennen</w:t>
      </w:r>
      <w:r w:rsidR="00F11C1E">
        <w:t xml:space="preserve"> und seine daran anknüpfenden Bewertungen offenlegen.</w:t>
      </w:r>
    </w:p>
    <w:p w14:paraId="4D939045" w14:textId="0203C161" w:rsidR="00F11C1E" w:rsidRPr="00613C59" w:rsidRDefault="00F11C1E" w:rsidP="00F11C1E">
      <w:pPr>
        <w:rPr>
          <w:szCs w:val="24"/>
        </w:rPr>
      </w:pPr>
      <w:r>
        <w:rPr>
          <w:szCs w:val="24"/>
        </w:rPr>
        <w:t>Auch in diesem Bereich wird deutlich, welch weitreichende Beschränkungen aus dem Grundsatz der Staatsferne für die Landesregierungen und die Landesparlamente abzuleiten sind.</w:t>
      </w:r>
    </w:p>
    <w:p w14:paraId="2B9F9BDA" w14:textId="3ACDBA97" w:rsidR="0047468D" w:rsidRDefault="0047468D" w:rsidP="0047468D">
      <w:pPr>
        <w:pStyle w:val="berschrift3"/>
      </w:pPr>
      <w:r>
        <w:lastRenderedPageBreak/>
        <w:t>Staatsferne und Au</w:t>
      </w:r>
      <w:r w:rsidR="000A1901">
        <w:t>fsicht über den privaten Rundfunk</w:t>
      </w:r>
      <w:r>
        <w:t xml:space="preserve"> </w:t>
      </w:r>
    </w:p>
    <w:p w14:paraId="2748C370" w14:textId="77777777" w:rsidR="00D1508D" w:rsidRPr="008D1C34" w:rsidRDefault="0044696B" w:rsidP="00F11C1E">
      <w:pPr>
        <w:rPr>
          <w:color w:val="000000"/>
          <w:szCs w:val="24"/>
          <w:shd w:val="clear" w:color="auto" w:fill="FFFFFF"/>
        </w:rPr>
      </w:pPr>
      <w:r w:rsidRPr="008D1C34">
        <w:rPr>
          <w:color w:val="000000"/>
          <w:szCs w:val="24"/>
          <w:shd w:val="clear" w:color="auto" w:fill="FFFFFF"/>
        </w:rPr>
        <w:t>Zudem ist die Staatsferne bei der Aufsicht über den privaten Rundfunk zu beachten.</w:t>
      </w:r>
      <w:r w:rsidR="00A91093" w:rsidRPr="008D1C34">
        <w:rPr>
          <w:color w:val="000000"/>
          <w:szCs w:val="24"/>
          <w:shd w:val="clear" w:color="auto" w:fill="FFFFFF"/>
        </w:rPr>
        <w:t xml:space="preserve"> I</w:t>
      </w:r>
      <w:r w:rsidRPr="008D1C34">
        <w:rPr>
          <w:color w:val="000000"/>
          <w:szCs w:val="24"/>
          <w:shd w:val="clear" w:color="auto" w:fill="FFFFFF"/>
        </w:rPr>
        <w:t>n der dritten</w:t>
      </w:r>
      <w:r w:rsidRPr="008D1C34">
        <w:rPr>
          <w:rStyle w:val="Funotenzeichen"/>
          <w:color w:val="000000"/>
          <w:szCs w:val="24"/>
          <w:shd w:val="clear" w:color="auto" w:fill="FFFFFF"/>
        </w:rPr>
        <w:footnoteReference w:id="59"/>
      </w:r>
      <w:r w:rsidRPr="008D1C34">
        <w:rPr>
          <w:color w:val="000000"/>
          <w:szCs w:val="24"/>
          <w:shd w:val="clear" w:color="auto" w:fill="FFFFFF"/>
        </w:rPr>
        <w:t xml:space="preserve"> und vierten Rundfunkentscheidung</w:t>
      </w:r>
      <w:r w:rsidRPr="008D1C34">
        <w:rPr>
          <w:rStyle w:val="Funotenzeichen"/>
          <w:color w:val="000000"/>
          <w:szCs w:val="24"/>
          <w:shd w:val="clear" w:color="auto" w:fill="FFFFFF"/>
        </w:rPr>
        <w:footnoteReference w:id="60"/>
      </w:r>
      <w:r w:rsidRPr="008D1C34">
        <w:rPr>
          <w:color w:val="000000"/>
          <w:szCs w:val="24"/>
          <w:shd w:val="clear" w:color="auto" w:fill="FFFFFF"/>
        </w:rPr>
        <w:t xml:space="preserve"> </w:t>
      </w:r>
      <w:r w:rsidR="00A91093" w:rsidRPr="008D1C34">
        <w:rPr>
          <w:color w:val="000000"/>
          <w:szCs w:val="24"/>
          <w:shd w:val="clear" w:color="auto" w:fill="FFFFFF"/>
        </w:rPr>
        <w:t>betont</w:t>
      </w:r>
      <w:r w:rsidRPr="008D1C34">
        <w:rPr>
          <w:color w:val="000000"/>
          <w:szCs w:val="24"/>
          <w:shd w:val="clear" w:color="auto" w:fill="FFFFFF"/>
        </w:rPr>
        <w:t xml:space="preserve"> das Bundesverfassungsgericht </w:t>
      </w:r>
      <w:r w:rsidR="00A91093" w:rsidRPr="008D1C34">
        <w:rPr>
          <w:color w:val="000000"/>
          <w:szCs w:val="24"/>
          <w:shd w:val="clear" w:color="auto" w:fill="FFFFFF"/>
        </w:rPr>
        <w:t>nachdrücklich, dass die Rundfunkfreiheit dient der gleichen Aufgabe dient wie alle Garantien des Art. 5 Abs. 1 GG, nämlich der Gewährleistung freier individueller und öffentlicher Meinungsbildung.</w:t>
      </w:r>
      <w:r w:rsidR="00A91093" w:rsidRPr="008D1C34">
        <w:rPr>
          <w:rStyle w:val="Funotenzeichen"/>
          <w:color w:val="000000"/>
          <w:szCs w:val="24"/>
          <w:shd w:val="clear" w:color="auto" w:fill="FFFFFF"/>
        </w:rPr>
        <w:footnoteReference w:id="61"/>
      </w:r>
      <w:r w:rsidR="00A91093" w:rsidRPr="008D1C34">
        <w:rPr>
          <w:color w:val="000000"/>
          <w:szCs w:val="24"/>
          <w:shd w:val="clear" w:color="auto" w:fill="FFFFFF"/>
        </w:rPr>
        <w:t xml:space="preserve"> Diese Meinungsbildung vollzieht sich in einem Kommunikationsprozess, in welchem dem Rundfunk die Aufgabe eines "Mediums" und "Faktors" zukommt. Dabei obliegt es dem Rundfunk, in möglichster Breite und Vollständigkeit zu informieren</w:t>
      </w:r>
      <w:r w:rsidR="00D1508D" w:rsidRPr="008D1C34">
        <w:rPr>
          <w:color w:val="000000"/>
          <w:szCs w:val="24"/>
          <w:shd w:val="clear" w:color="auto" w:fill="FFFFFF"/>
        </w:rPr>
        <w:t xml:space="preserve"> und dadurch</w:t>
      </w:r>
      <w:r w:rsidR="00A91093" w:rsidRPr="008D1C34">
        <w:rPr>
          <w:color w:val="000000"/>
          <w:szCs w:val="24"/>
          <w:shd w:val="clear" w:color="auto" w:fill="FFFFFF"/>
        </w:rPr>
        <w:t xml:space="preserve"> dem Einzelnen und den gesellschaftlichen Gruppen Gelegenheit zu meinungsbildendem Wirken</w:t>
      </w:r>
      <w:r w:rsidR="00D1508D" w:rsidRPr="008D1C34">
        <w:rPr>
          <w:color w:val="000000"/>
          <w:szCs w:val="24"/>
          <w:shd w:val="clear" w:color="auto" w:fill="FFFFFF"/>
        </w:rPr>
        <w:t xml:space="preserve"> zu geben.</w:t>
      </w:r>
      <w:r w:rsidR="00A91093" w:rsidRPr="008D1C34">
        <w:rPr>
          <w:color w:val="000000"/>
          <w:szCs w:val="24"/>
          <w:shd w:val="clear" w:color="auto" w:fill="FFFFFF"/>
        </w:rPr>
        <w:t xml:space="preserve"> </w:t>
      </w:r>
      <w:r w:rsidR="00D1508D" w:rsidRPr="008D1C34">
        <w:rPr>
          <w:color w:val="000000"/>
          <w:szCs w:val="24"/>
          <w:shd w:val="clear" w:color="auto" w:fill="FFFFFF"/>
        </w:rPr>
        <w:t>Auch</w:t>
      </w:r>
      <w:r w:rsidR="00A91093" w:rsidRPr="008D1C34">
        <w:rPr>
          <w:color w:val="000000"/>
          <w:szCs w:val="24"/>
          <w:shd w:val="clear" w:color="auto" w:fill="FFFFFF"/>
        </w:rPr>
        <w:t xml:space="preserve"> ist</w:t>
      </w:r>
      <w:r w:rsidR="00D1508D" w:rsidRPr="008D1C34">
        <w:rPr>
          <w:color w:val="000000"/>
          <w:szCs w:val="24"/>
          <w:shd w:val="clear" w:color="auto" w:fill="FFFFFF"/>
        </w:rPr>
        <w:t xml:space="preserve"> er</w:t>
      </w:r>
      <w:r w:rsidR="00A91093" w:rsidRPr="008D1C34">
        <w:rPr>
          <w:color w:val="000000"/>
          <w:szCs w:val="24"/>
          <w:shd w:val="clear" w:color="auto" w:fill="FFFFFF"/>
        </w:rPr>
        <w:t xml:space="preserve"> selbst an dem Proz</w:t>
      </w:r>
      <w:r w:rsidR="00D1508D" w:rsidRPr="008D1C34">
        <w:rPr>
          <w:color w:val="000000"/>
          <w:szCs w:val="24"/>
          <w:shd w:val="clear" w:color="auto" w:fill="FFFFFF"/>
        </w:rPr>
        <w:t>ess</w:t>
      </w:r>
      <w:r w:rsidR="00A91093" w:rsidRPr="008D1C34">
        <w:rPr>
          <w:color w:val="000000"/>
          <w:szCs w:val="24"/>
          <w:shd w:val="clear" w:color="auto" w:fill="FFFFFF"/>
        </w:rPr>
        <w:t xml:space="preserve"> der Meinungsbildung beteiligt. Dies geschieht</w:t>
      </w:r>
      <w:r w:rsidR="00D1508D" w:rsidRPr="008D1C34">
        <w:rPr>
          <w:color w:val="000000"/>
          <w:szCs w:val="24"/>
          <w:shd w:val="clear" w:color="auto" w:fill="FFFFFF"/>
        </w:rPr>
        <w:t>, wie das Bundesverfassungsgericht zutreffend hervorhebt,</w:t>
      </w:r>
      <w:r w:rsidR="00A91093" w:rsidRPr="008D1C34">
        <w:rPr>
          <w:color w:val="000000"/>
          <w:szCs w:val="24"/>
          <w:shd w:val="clear" w:color="auto" w:fill="FFFFFF"/>
        </w:rPr>
        <w:t xml:space="preserve"> in einem umfassenden Sinne</w:t>
      </w:r>
      <w:r w:rsidR="00D1508D" w:rsidRPr="008D1C34">
        <w:rPr>
          <w:color w:val="000000"/>
          <w:szCs w:val="24"/>
          <w:shd w:val="clear" w:color="auto" w:fill="FFFFFF"/>
        </w:rPr>
        <w:t>, weil</w:t>
      </w:r>
      <w:r w:rsidR="00A91093" w:rsidRPr="008D1C34">
        <w:rPr>
          <w:color w:val="000000"/>
          <w:szCs w:val="24"/>
          <w:shd w:val="clear" w:color="auto" w:fill="FFFFFF"/>
        </w:rPr>
        <w:t xml:space="preserve"> Meinungsbildung sich nicht nur durch Nachrichtensendungen, politische Kommentare oder Sendereihen über Probleme der Vergangenheit, der Gegenwart oder der Zukunft, sondern ebenso in Hör- und Fernsehspielen, musikalischen Darbietungen oder Unterhaltungssendungen</w:t>
      </w:r>
      <w:r w:rsidR="00D1508D" w:rsidRPr="008D1C34">
        <w:rPr>
          <w:color w:val="000000"/>
          <w:szCs w:val="24"/>
          <w:shd w:val="clear" w:color="auto" w:fill="FFFFFF"/>
        </w:rPr>
        <w:t xml:space="preserve"> vollzieht.</w:t>
      </w:r>
      <w:r w:rsidR="00D1508D" w:rsidRPr="008D1C34">
        <w:rPr>
          <w:rStyle w:val="Funotenzeichen"/>
          <w:color w:val="000000"/>
          <w:szCs w:val="24"/>
          <w:shd w:val="clear" w:color="auto" w:fill="FFFFFF"/>
        </w:rPr>
        <w:footnoteReference w:id="62"/>
      </w:r>
      <w:r w:rsidR="00A91093" w:rsidRPr="008D1C34">
        <w:rPr>
          <w:color w:val="000000"/>
          <w:szCs w:val="24"/>
          <w:shd w:val="clear" w:color="auto" w:fill="FFFFFF"/>
        </w:rPr>
        <w:t xml:space="preserve"> </w:t>
      </w:r>
    </w:p>
    <w:p w14:paraId="66B5D0F9" w14:textId="7DBFD4E3" w:rsidR="00D1508D" w:rsidRPr="008D1C34" w:rsidRDefault="00883D3F" w:rsidP="00F11C1E">
      <w:pPr>
        <w:rPr>
          <w:noProof/>
          <w:color w:val="000000"/>
          <w:szCs w:val="24"/>
          <w:shd w:val="clear" w:color="auto" w:fill="FFFFFF"/>
        </w:rPr>
      </w:pPr>
      <w:r w:rsidRPr="008D1C34">
        <w:rPr>
          <w:color w:val="000000"/>
          <w:szCs w:val="24"/>
          <w:shd w:val="clear" w:color="auto" w:fill="FFFFFF"/>
        </w:rPr>
        <w:t>Freie individuelle und öffentliche Meinungsbildung durch den Rundfunk verlangt zunächst die Freiheit des Rundfunks von staatlicher Beherrschung und Einflussnahme.</w:t>
      </w:r>
      <w:r w:rsidRPr="008D1C34">
        <w:rPr>
          <w:rStyle w:val="Funotenzeichen"/>
          <w:color w:val="000000"/>
          <w:szCs w:val="24"/>
          <w:shd w:val="clear" w:color="auto" w:fill="FFFFFF"/>
        </w:rPr>
        <w:footnoteReference w:id="63"/>
      </w:r>
      <w:r w:rsidRPr="008D1C34">
        <w:rPr>
          <w:color w:val="000000"/>
          <w:szCs w:val="24"/>
          <w:shd w:val="clear" w:color="auto" w:fill="FFFFFF"/>
        </w:rPr>
        <w:t xml:space="preserve"> Dem lässt sich nicht bereits durch eine lediglich negatorische Gestaltung gerecht werden. Es bedarf vielmehr einer positiven Ordnung, welche sicherstellt, dass die Vielfalt der bestehenden Meinungen</w:t>
      </w:r>
      <w:bookmarkStart w:id="8" w:name="153"/>
      <w:bookmarkEnd w:id="8"/>
      <w:r w:rsidRPr="008D1C34">
        <w:rPr>
          <w:color w:val="000000"/>
          <w:szCs w:val="24"/>
          <w:shd w:val="clear" w:color="auto" w:fill="FFFFFF"/>
        </w:rPr>
        <w:t xml:space="preserve"> im Rundfunk in möglichster Breite und Vollständigkeit Ausdruck findet.</w:t>
      </w:r>
      <w:r w:rsidRPr="008D1C34">
        <w:rPr>
          <w:rStyle w:val="Funotenzeichen"/>
          <w:color w:val="000000"/>
          <w:szCs w:val="24"/>
          <w:shd w:val="clear" w:color="auto" w:fill="FFFFFF"/>
        </w:rPr>
        <w:footnoteReference w:id="64"/>
      </w:r>
      <w:r w:rsidRPr="008D1C34">
        <w:rPr>
          <w:color w:val="000000"/>
          <w:szCs w:val="24"/>
          <w:shd w:val="clear" w:color="auto" w:fill="FFFFFF"/>
        </w:rPr>
        <w:t xml:space="preserve"> Dabei handelt es sich um einen Landesgesetzesvorbehalt. Die Landesparlamente muss das zur Gewährleistung der Rundfunkfreiheit Wesentliche selbst bestimmen.</w:t>
      </w:r>
      <w:r w:rsidRPr="008D1C34">
        <w:rPr>
          <w:rStyle w:val="Funotenzeichen"/>
          <w:color w:val="000000"/>
          <w:szCs w:val="24"/>
          <w:shd w:val="clear" w:color="auto" w:fill="FFFFFF"/>
        </w:rPr>
        <w:footnoteReference w:id="65"/>
      </w:r>
      <w:r w:rsidR="00CE10AB" w:rsidRPr="008D1C34">
        <w:rPr>
          <w:color w:val="000000"/>
          <w:szCs w:val="24"/>
          <w:shd w:val="clear" w:color="auto" w:fill="FFFFFF"/>
        </w:rPr>
        <w:t xml:space="preserve"> Dabei kann der Gesetzgeber auch eine duale Rundfunkordnung wählen, sofern er durch geeignete Vorkehrungen gewährleistet, dass das Gesamtangebot der inländischen Programme der bestehenden Meinungsvielfalt auch tatsächlich im Wesentlichen entspricht. </w:t>
      </w:r>
      <w:r w:rsidR="00CE10AB" w:rsidRPr="008D1C34">
        <w:rPr>
          <w:color w:val="000000"/>
          <w:szCs w:val="24"/>
          <w:shd w:val="clear" w:color="auto" w:fill="FFFFFF"/>
        </w:rPr>
        <w:lastRenderedPageBreak/>
        <w:t>Allerdings sind auch bei dieser Lösung gesetzliche Regelungen zur Sicherung der Freiheit notwendig.</w:t>
      </w:r>
      <w:r w:rsidR="00CE10AB" w:rsidRPr="008D1C34">
        <w:rPr>
          <w:rStyle w:val="Funotenzeichen"/>
          <w:color w:val="000000"/>
          <w:szCs w:val="24"/>
          <w:shd w:val="clear" w:color="auto" w:fill="FFFFFF"/>
        </w:rPr>
        <w:footnoteReference w:id="66"/>
      </w:r>
    </w:p>
    <w:p w14:paraId="3DCC0A37" w14:textId="503AA1E4" w:rsidR="00F11C1E" w:rsidRDefault="00A91093" w:rsidP="008D1C34">
      <w:pPr>
        <w:rPr>
          <w:shd w:val="clear" w:color="auto" w:fill="FFFFFF"/>
        </w:rPr>
      </w:pPr>
      <w:r>
        <w:rPr>
          <w:shd w:val="clear" w:color="auto" w:fill="FFFFFF"/>
        </w:rPr>
        <w:t>Zu den Fragen, welche der Gesetzgeber zu regeln hat, gehört die Entscheidung über die Grundlinien der Rundfunkordnung. Im Rahmen des zugrunde gelegten Ordnungsmodells hat er dafür Sorge zu tragen, da</w:t>
      </w:r>
      <w:r w:rsidR="00CE10AB">
        <w:rPr>
          <w:shd w:val="clear" w:color="auto" w:fill="FFFFFF"/>
        </w:rPr>
        <w:t>ss</w:t>
      </w:r>
      <w:r>
        <w:rPr>
          <w:shd w:val="clear" w:color="auto" w:fill="FFFFFF"/>
        </w:rPr>
        <w:t xml:space="preserve"> das Gesamtangebot der inländischen Programme der bestehenden Meinungsvielfalt im </w:t>
      </w:r>
      <w:r w:rsidR="00883D3F">
        <w:rPr>
          <w:shd w:val="clear" w:color="auto" w:fill="FFFFFF"/>
        </w:rPr>
        <w:t>W</w:t>
      </w:r>
      <w:r>
        <w:rPr>
          <w:shd w:val="clear" w:color="auto" w:fill="FFFFFF"/>
        </w:rPr>
        <w:t>esentlichen entspricht, da</w:t>
      </w:r>
      <w:r w:rsidR="00CE10AB">
        <w:rPr>
          <w:shd w:val="clear" w:color="auto" w:fill="FFFFFF"/>
        </w:rPr>
        <w:t>ss</w:t>
      </w:r>
      <w:r>
        <w:rPr>
          <w:shd w:val="clear" w:color="auto" w:fill="FFFFFF"/>
        </w:rPr>
        <w:t xml:space="preserve"> der Rundfunk nicht einer oder einzelnen gesellschaftlichen Gruppen ausgeliefert wird und da</w:t>
      </w:r>
      <w:r w:rsidR="00CE10AB">
        <w:rPr>
          <w:shd w:val="clear" w:color="auto" w:fill="FFFFFF"/>
        </w:rPr>
        <w:t>ss</w:t>
      </w:r>
      <w:r>
        <w:rPr>
          <w:shd w:val="clear" w:color="auto" w:fill="FFFFFF"/>
        </w:rPr>
        <w:t xml:space="preserve"> die in Betracht kommenden Kräfte im Gesamtprogrammangebot zu Wort kommen können.</w:t>
      </w:r>
      <w:r w:rsidR="0044696B">
        <w:rPr>
          <w:shd w:val="clear" w:color="auto" w:fill="FFFFFF"/>
        </w:rPr>
        <w:t xml:space="preserve"> Er müsse deshalb</w:t>
      </w:r>
      <w:r w:rsidR="00CE10AB">
        <w:rPr>
          <w:shd w:val="clear" w:color="auto" w:fill="FFFFFF"/>
        </w:rPr>
        <w:t xml:space="preserve"> auch</w:t>
      </w:r>
      <w:r w:rsidR="0044696B">
        <w:rPr>
          <w:shd w:val="clear" w:color="auto" w:fill="FFFFFF"/>
        </w:rPr>
        <w:t xml:space="preserve"> eine begrenzte Staatsaufsicht vorsehen</w:t>
      </w:r>
      <w:r w:rsidR="00CE10AB">
        <w:rPr>
          <w:shd w:val="clear" w:color="auto" w:fill="FFFFFF"/>
        </w:rPr>
        <w:t>.</w:t>
      </w:r>
    </w:p>
    <w:p w14:paraId="7461949F" w14:textId="1DFA7847" w:rsidR="00CE10AB" w:rsidRDefault="00CE10AB" w:rsidP="008D1C34">
      <w:pPr>
        <w:rPr>
          <w:shd w:val="clear" w:color="auto" w:fill="FFFFFF"/>
        </w:rPr>
      </w:pPr>
      <w:r>
        <w:rPr>
          <w:shd w:val="clear" w:color="auto" w:fill="FFFFFF"/>
        </w:rPr>
        <w:t xml:space="preserve">Im Hinblick auf die Ausgestaltung der Aufsicht </w:t>
      </w:r>
      <w:r w:rsidR="00F47542">
        <w:rPr>
          <w:shd w:val="clear" w:color="auto" w:fill="FFFFFF"/>
        </w:rPr>
        <w:t>verlangt das Bundesverfassungsgericht ein Konzept, das den Grundsatz der Staatsferne des Rundfunks nicht verletzt.</w:t>
      </w:r>
      <w:r w:rsidR="00F47542">
        <w:rPr>
          <w:rStyle w:val="Funotenzeichen"/>
          <w:color w:val="000000"/>
          <w:szCs w:val="27"/>
          <w:shd w:val="clear" w:color="auto" w:fill="FFFFFF"/>
        </w:rPr>
        <w:footnoteReference w:id="67"/>
      </w:r>
    </w:p>
    <w:p w14:paraId="2CE505E6" w14:textId="29316458" w:rsidR="00F47542" w:rsidRDefault="00F47542" w:rsidP="008D1C34">
      <w:pPr>
        <w:rPr>
          <w:shd w:val="clear" w:color="auto" w:fill="FFFFFF"/>
        </w:rPr>
      </w:pPr>
      <w:r>
        <w:rPr>
          <w:shd w:val="clear" w:color="auto" w:fill="FFFFFF"/>
        </w:rPr>
        <w:t>Dies ist der Fall</w:t>
      </w:r>
      <w:r w:rsidR="00EF6CC6">
        <w:rPr>
          <w:shd w:val="clear" w:color="auto" w:fill="FFFFFF"/>
        </w:rPr>
        <w:t>,</w:t>
      </w:r>
      <w:r>
        <w:rPr>
          <w:shd w:val="clear" w:color="auto" w:fill="FFFFFF"/>
        </w:rPr>
        <w:t xml:space="preserve"> wenn die Aufgabe der Kontrolle den Landesmedienanstalten als dem Staat</w:t>
      </w:r>
      <w:bookmarkStart w:id="9" w:name="165"/>
      <w:bookmarkEnd w:id="9"/>
      <w:r>
        <w:rPr>
          <w:shd w:val="clear" w:color="auto" w:fill="FFFFFF"/>
        </w:rPr>
        <w:t xml:space="preserve"> gegenüber rechtlich verselbständigte, von ihm unabhängige Organisationseinheit zugewiesen werden. Sie müssen allerdings als rechtsfähige Anstalten ihre Tätigkeiten innerhalb der gesetzlichen Schranken unabhängig und in eigener Verantwortung ausüben können, also an Aufträge und Weisungen nicht gebunden und keinem staatlichen Einfluss auf die Art der Wahrnehmung ihrer gesetzlichen Aufgaben</w:t>
      </w:r>
      <w:r w:rsidR="00EF6CC6">
        <w:rPr>
          <w:shd w:val="clear" w:color="auto" w:fill="FFFFFF"/>
        </w:rPr>
        <w:t xml:space="preserve"> unterliegen</w:t>
      </w:r>
      <w:r>
        <w:rPr>
          <w:shd w:val="clear" w:color="auto" w:fill="FFFFFF"/>
        </w:rPr>
        <w:t>.</w:t>
      </w:r>
      <w:r w:rsidR="007F6384">
        <w:rPr>
          <w:rStyle w:val="Funotenzeichen"/>
          <w:color w:val="000000"/>
          <w:szCs w:val="27"/>
          <w:shd w:val="clear" w:color="auto" w:fill="FFFFFF"/>
        </w:rPr>
        <w:footnoteReference w:id="68"/>
      </w:r>
      <w:r w:rsidR="007F6384">
        <w:rPr>
          <w:shd w:val="clear" w:color="auto" w:fill="FFFFFF"/>
        </w:rPr>
        <w:t xml:space="preserve"> Ansonsten könnte der Staat </w:t>
      </w:r>
      <w:r w:rsidR="007F6384" w:rsidRPr="004620D2">
        <w:t>der Staat bzw. staatliche und/oder parteipolitische Vertreter Einfluss auf Inhalt und Form der</w:t>
      </w:r>
      <w:r w:rsidR="007F6384">
        <w:t xml:space="preserve"> privaten</w:t>
      </w:r>
      <w:r w:rsidR="007F6384" w:rsidRPr="004620D2">
        <w:t xml:space="preserve"> Programme gewinnen</w:t>
      </w:r>
      <w:r w:rsidR="007F6384">
        <w:t>.</w:t>
      </w:r>
    </w:p>
    <w:p w14:paraId="059F757C" w14:textId="2156987F" w:rsidR="007F6384" w:rsidRDefault="007F6384" w:rsidP="008D1C34">
      <w:r>
        <w:t xml:space="preserve">Wie beim öffentlich-rechtlichen Rundfunk gilt es, </w:t>
      </w:r>
      <w:r w:rsidRPr="00705A8A">
        <w:rPr>
          <w:szCs w:val="24"/>
        </w:rPr>
        <w:t>auch die subtileren Mittel indirekter Einwirkung, mit denen sich staatliche Organe Einflu</w:t>
      </w:r>
      <w:r>
        <w:rPr>
          <w:szCs w:val="24"/>
        </w:rPr>
        <w:t>ss</w:t>
      </w:r>
      <w:r w:rsidRPr="00705A8A">
        <w:rPr>
          <w:szCs w:val="24"/>
        </w:rPr>
        <w:t xml:space="preserve"> auf das Programm verschaffen oder Druck auf die im Rundfunk Tätigen ausüben könn</w:t>
      </w:r>
      <w:r>
        <w:rPr>
          <w:szCs w:val="24"/>
        </w:rPr>
        <w:t>t</w:t>
      </w:r>
      <w:r w:rsidRPr="00705A8A">
        <w:rPr>
          <w:szCs w:val="24"/>
        </w:rPr>
        <w:t>en</w:t>
      </w:r>
      <w:r>
        <w:rPr>
          <w:szCs w:val="24"/>
        </w:rPr>
        <w:t>, durch geeignete verfahrensrechtliche Mittel vorbeugend zu unterbinden</w:t>
      </w:r>
      <w:r w:rsidRPr="00705A8A">
        <w:rPr>
          <w:szCs w:val="24"/>
        </w:rPr>
        <w:t>.</w:t>
      </w:r>
      <w:r>
        <w:t xml:space="preserve"> </w:t>
      </w:r>
    </w:p>
    <w:p w14:paraId="1224F171" w14:textId="22AA5827" w:rsidR="00AC3F3F" w:rsidRDefault="00AC3F3F" w:rsidP="00AC3F3F">
      <w:pPr>
        <w:pStyle w:val="berschrift3"/>
      </w:pPr>
      <w:r>
        <w:lastRenderedPageBreak/>
        <w:t>Staatsferne und Auswahlentscheidungen über Leitungspositionen bei den Landesmedienanstalten</w:t>
      </w:r>
    </w:p>
    <w:p w14:paraId="0CCBF84B" w14:textId="3441CD8F" w:rsidR="007F6384" w:rsidRDefault="007F6384" w:rsidP="00F11C1E">
      <w:r>
        <w:t xml:space="preserve">Solche indirekten Einwirkungen auf den privaten Rundfunk sind jedenfalls nicht auszuschließen, wenn der Staat </w:t>
      </w:r>
      <w:r w:rsidR="00AC3F3F">
        <w:t>über die</w:t>
      </w:r>
      <w:r>
        <w:t xml:space="preserve"> </w:t>
      </w:r>
      <w:r w:rsidRPr="00716549">
        <w:rPr>
          <w:b/>
          <w:bCs/>
        </w:rPr>
        <w:t>Auswahl von Leitungspositionen</w:t>
      </w:r>
      <w:r w:rsidR="00AC3F3F">
        <w:rPr>
          <w:b/>
          <w:bCs/>
        </w:rPr>
        <w:t xml:space="preserve"> </w:t>
      </w:r>
      <w:r w:rsidR="00AC3F3F">
        <w:t xml:space="preserve">entscheidet, die ihrerseits programmrelevante Aufsichtsfunktionen wahrnehmen. </w:t>
      </w:r>
    </w:p>
    <w:p w14:paraId="54A57DD4" w14:textId="7934B0A5" w:rsidR="00AC3F3F" w:rsidRPr="00AC3F3F" w:rsidRDefault="00AC3F3F" w:rsidP="00F11C1E">
      <w:r>
        <w:t>Daher ist</w:t>
      </w:r>
      <w:r w:rsidR="0069218B">
        <w:t xml:space="preserve"> das Gebot</w:t>
      </w:r>
      <w:r>
        <w:t xml:space="preserve"> de</w:t>
      </w:r>
      <w:r w:rsidR="0069218B">
        <w:t>r</w:t>
      </w:r>
      <w:r>
        <w:t xml:space="preserve"> Staatsferne dann zu beachten, wenn </w:t>
      </w:r>
      <w:r w:rsidR="0069218B">
        <w:t>über die Besetzung solcher Leitungspositionen entschieden wird. Welche Maßstäbe aus der Staatsferne folgen, hat das Bundesverfassungsgericht in der Entscheidung über den ZDF-Staatsvertrag</w:t>
      </w:r>
      <w:r w:rsidR="0069218B">
        <w:rPr>
          <w:rStyle w:val="Funotenzeichen"/>
        </w:rPr>
        <w:footnoteReference w:id="69"/>
      </w:r>
      <w:r w:rsidR="0069218B">
        <w:t xml:space="preserve"> im Einzelnen eindrucksvoll dargelegt. In dem Gremium, das über die Besetzung entscheidet, darf die </w:t>
      </w:r>
      <w:r w:rsidR="0069218B" w:rsidRPr="0084777A">
        <w:rPr>
          <w:b/>
          <w:bCs/>
        </w:rPr>
        <w:t>Zahl der dem Staat zuzurechnenden Vertreter</w:t>
      </w:r>
      <w:r w:rsidR="0069218B">
        <w:t xml:space="preserve"> </w:t>
      </w:r>
      <w:r w:rsidR="0069218B" w:rsidRPr="0084777A">
        <w:rPr>
          <w:b/>
          <w:bCs/>
        </w:rPr>
        <w:t>höchstens ein Drittel</w:t>
      </w:r>
      <w:r w:rsidR="0069218B">
        <w:t xml:space="preserve"> betragen. Zudem </w:t>
      </w:r>
      <w:r w:rsidR="00C50362">
        <w:t>gelten die übrigen bereits dargelegten Anforderungen.</w:t>
      </w:r>
      <w:r w:rsidR="00C50362">
        <w:rPr>
          <w:rStyle w:val="Funotenzeichen"/>
        </w:rPr>
        <w:footnoteReference w:id="70"/>
      </w:r>
    </w:p>
    <w:p w14:paraId="5A64056D" w14:textId="77777777" w:rsidR="00AD291F" w:rsidRDefault="00AD291F" w:rsidP="00AD291F">
      <w:pPr>
        <w:pStyle w:val="berschrift3"/>
      </w:pPr>
      <w:r>
        <w:t>Die Adressaten des Gebots der Staatsferne</w:t>
      </w:r>
    </w:p>
    <w:p w14:paraId="4893712C" w14:textId="685955F2" w:rsidR="00235368" w:rsidRDefault="00C50362" w:rsidP="00235368">
      <w:r w:rsidRPr="00235368">
        <w:t>Diese Anforderungen binden alle Adressaten des Gebots der Staatsferne. Dazu zählen nicht nur Mitglieder der Regierung</w:t>
      </w:r>
      <w:r w:rsidRPr="00235368">
        <w:rPr>
          <w:vertAlign w:val="superscript"/>
        </w:rPr>
        <w:footnoteReference w:id="71"/>
      </w:r>
      <w:r w:rsidR="00235368">
        <w:t>,</w:t>
      </w:r>
      <w:r w:rsidR="008565A3" w:rsidRPr="00235368">
        <w:t xml:space="preserve"> politische Beamtinnen und Beamte</w:t>
      </w:r>
      <w:r w:rsidR="008565A3" w:rsidRPr="00235368">
        <w:rPr>
          <w:vertAlign w:val="superscript"/>
        </w:rPr>
        <w:footnoteReference w:id="72"/>
      </w:r>
      <w:r w:rsidR="008565A3" w:rsidRPr="00235368">
        <w:t xml:space="preserve"> </w:t>
      </w:r>
      <w:r w:rsidR="003B18C4" w:rsidRPr="00235368">
        <w:t xml:space="preserve">sowie </w:t>
      </w:r>
      <w:r w:rsidR="008565A3" w:rsidRPr="00235368">
        <w:t>Wahlbeamte in Leitungsfunktion wie insbesondere Bürgermeister oder Landräte</w:t>
      </w:r>
      <w:r w:rsidR="003B18C4" w:rsidRPr="00235368">
        <w:t>,</w:t>
      </w:r>
      <w:r w:rsidR="003B18C4" w:rsidRPr="00235368">
        <w:rPr>
          <w:vertAlign w:val="superscript"/>
        </w:rPr>
        <w:footnoteReference w:id="73"/>
      </w:r>
      <w:r w:rsidR="003B18C4" w:rsidRPr="00235368">
        <w:t xml:space="preserve"> sondern auch und gerade Parlamentarier.</w:t>
      </w:r>
      <w:r w:rsidR="003B18C4" w:rsidRPr="00235368">
        <w:rPr>
          <w:vertAlign w:val="superscript"/>
        </w:rPr>
        <w:footnoteReference w:id="74"/>
      </w:r>
      <w:r w:rsidR="003B18C4" w:rsidRPr="00235368">
        <w:t xml:space="preserve"> Auch dem Parlament und seinen Unterorganen darf kein Einfluss auf die Programme der Rundfunkveranstalter eingeräumt werden. Dies schließt indirekte Einflussmöglichkeiten ein, wie etwa die durch den damaligen § 3 Abs. 1 Satz 1 LRG vorgesehene Mitentscheidung des Hauptausschusses des nordrhein-westfälischen Landtags über die Zuordnung der Übertragungskapazitäten. Zwar waren damit nach Auffassung des Bundesverfassungsgerichts keine unmittelbaren Einflüsse auf die Programmgestaltung verbunden.</w:t>
      </w:r>
      <w:r w:rsidR="00235368" w:rsidRPr="00235368">
        <w:t xml:space="preserve"> Die Zuordnung</w:t>
      </w:r>
      <w:r w:rsidR="003B18C4" w:rsidRPr="00235368">
        <w:t xml:space="preserve"> entscheide vielmehr über den Anteil, mit dem öffentlich</w:t>
      </w:r>
      <w:r w:rsidR="00235368" w:rsidRPr="00235368">
        <w:t>-</w:t>
      </w:r>
      <w:r w:rsidR="003B18C4" w:rsidRPr="00235368">
        <w:t>rechtliche und private Veranstalter im Gesamtprogramm zum Zuge kommen. Die Rundfunkfreiheit schütz</w:t>
      </w:r>
      <w:r w:rsidR="00235368" w:rsidRPr="00235368">
        <w:t>e</w:t>
      </w:r>
      <w:r w:rsidR="003B18C4" w:rsidRPr="00235368">
        <w:t xml:space="preserve"> jedoch nicht nur vor unmittelbaren staatlichen Einflu</w:t>
      </w:r>
      <w:r w:rsidR="00235368" w:rsidRPr="00235368">
        <w:t>ss</w:t>
      </w:r>
      <w:r w:rsidR="003B18C4" w:rsidRPr="00235368">
        <w:t xml:space="preserve">nahmen auf das Programm, sondern steht auch mittelbaren </w:t>
      </w:r>
      <w:r w:rsidR="003B18C4" w:rsidRPr="00235368">
        <w:lastRenderedPageBreak/>
        <w:t>Programmeinflüssen</w:t>
      </w:r>
      <w:r w:rsidR="00235368" w:rsidRPr="00235368">
        <w:rPr>
          <w:vertAlign w:val="superscript"/>
        </w:rPr>
        <w:footnoteReference w:id="75"/>
      </w:r>
      <w:r w:rsidR="003B18C4" w:rsidRPr="00235368">
        <w:t xml:space="preserve"> entgegen. Die Gefahr derartiger Einflüsse l</w:t>
      </w:r>
      <w:r w:rsidR="00235368" w:rsidRPr="00235368">
        <w:t>asse</w:t>
      </w:r>
      <w:r w:rsidR="003B18C4" w:rsidRPr="00235368">
        <w:t xml:space="preserve"> sich </w:t>
      </w:r>
      <w:r w:rsidR="00235368" w:rsidRPr="00235368">
        <w:t>bei einer Zuordnungsentscheidung</w:t>
      </w:r>
      <w:r w:rsidR="003B18C4" w:rsidRPr="00235368">
        <w:t xml:space="preserve"> nicht ausschließen</w:t>
      </w:r>
      <w:r w:rsidR="00235368" w:rsidRPr="00235368">
        <w:t>.</w:t>
      </w:r>
      <w:r w:rsidR="00235368" w:rsidRPr="00235368">
        <w:rPr>
          <w:vertAlign w:val="superscript"/>
        </w:rPr>
        <w:footnoteReference w:id="76"/>
      </w:r>
    </w:p>
    <w:p w14:paraId="464318E7" w14:textId="1AB184BC" w:rsidR="00A84E12" w:rsidRDefault="00A84E12" w:rsidP="00EB625C">
      <w:pPr>
        <w:pStyle w:val="berschrift1"/>
        <w:rPr>
          <w:shd w:val="clear" w:color="auto" w:fill="FFFFFF"/>
        </w:rPr>
      </w:pPr>
      <w:r>
        <w:rPr>
          <w:shd w:val="clear" w:color="auto" w:fill="FFFFFF"/>
        </w:rPr>
        <w:t>Konsequenzen für die Regelung des § 58 Abs. 1, 3 SMG</w:t>
      </w:r>
    </w:p>
    <w:p w14:paraId="273DE95B" w14:textId="6F54EC36" w:rsidR="00457DEF" w:rsidRPr="00457DEF" w:rsidRDefault="00457DEF" w:rsidP="00EB625C">
      <w:pPr>
        <w:pStyle w:val="berschrift2"/>
      </w:pPr>
      <w:r>
        <w:t>Der saarländische Landtag als Adressat der Staatsferne</w:t>
      </w:r>
    </w:p>
    <w:p w14:paraId="386A2D3D" w14:textId="6DD8F4A3" w:rsidR="00A84E12" w:rsidRDefault="00A84E12" w:rsidP="00A84E12">
      <w:pPr>
        <w:rPr>
          <w:szCs w:val="24"/>
        </w:rPr>
      </w:pPr>
      <w:r>
        <w:t>Die Bestimmung des § 58 Abs. 1 SMG überträgt die Entscheidung über die Wahl der Direktorin bzw. des Direktors</w:t>
      </w:r>
      <w:r w:rsidR="00A372B1">
        <w:t xml:space="preserve"> der Landesmedienanstalt Saarland</w:t>
      </w:r>
      <w:r>
        <w:t xml:space="preserve"> dem Landtag. Für die Wahl, die für die Dauer von sieben Jahren erfolgt, ist eine qualifizierte Mehrheit von zwei Dritteln seiner Mitglieder erforderlich. Kommt eine Wahl</w:t>
      </w:r>
      <w:r w:rsidRPr="00A84E12">
        <w:t xml:space="preserve"> </w:t>
      </w:r>
      <w:r>
        <w:t>bis spätestens einen Monat vor Ablauf der Amtszeit der bisherigen Direktorin oder des bisherigen Direktors mit dieser Mehrheit nicht zustande, ist gewählt, wer die Mehrheit der Stimmen der gesetzlichen Mitglieder des Landtages erhält. Auch in dem Fall, dass d</w:t>
      </w:r>
      <w:r w:rsidR="00A372B1">
        <w:t>ie</w:t>
      </w:r>
      <w:r>
        <w:t xml:space="preserve"> bisherige Direktorin oder de</w:t>
      </w:r>
      <w:r w:rsidR="00A372B1">
        <w:t>r</w:t>
      </w:r>
      <w:r>
        <w:t xml:space="preserve"> bisherige Direktor</w:t>
      </w:r>
      <w:r w:rsidR="00A372B1">
        <w:t xml:space="preserve"> vorzeitig </w:t>
      </w:r>
      <w:r w:rsidR="00A372B1">
        <w:rPr>
          <w:szCs w:val="24"/>
        </w:rPr>
        <w:t>ausscheidet, wählt der Landtag gemäß § 58 Abs. 3 SMG die Nachfolgerin bzw. den Nachfolger, allerdings nur für den Rest der Amtszeit.</w:t>
      </w:r>
    </w:p>
    <w:p w14:paraId="5A073392" w14:textId="27F6C4C3" w:rsidR="00A372B1" w:rsidRDefault="00A372B1" w:rsidP="00A84E12">
      <w:r>
        <w:rPr>
          <w:szCs w:val="24"/>
        </w:rPr>
        <w:t xml:space="preserve">Die Entscheidung über die Direktorin bzw. den Direktor der </w:t>
      </w:r>
      <w:r>
        <w:t xml:space="preserve">Landesmedienanstalt Saarland obliegt damit allein dem Landesparlament, das nach ständiger Rechtsprechung des Bundesverfassungsgerichts Adressat des Gebots der Staatsferne ist. Ihm darf daher diese Kompetenz nicht übertragen werden, wenn mit der </w:t>
      </w:r>
      <w:r w:rsidR="000739FB">
        <w:t>Entscheidung über die Besetzung dieser Leitungsfunktion die Gefahr mittelbarer Programmeinflüsse verbunden sein kann. Eine solche Gefahr hat das Bundesverfassungsgericht, wie bereits dargelegt,</w:t>
      </w:r>
      <w:r w:rsidR="000739FB">
        <w:rPr>
          <w:rStyle w:val="Funotenzeichen"/>
        </w:rPr>
        <w:footnoteReference w:id="77"/>
      </w:r>
      <w:r w:rsidR="000739FB">
        <w:t xml:space="preserve"> selbst bei der Entscheidung über die Zuordnung von Übertragungskapazitäten bejaht. Sie muss erst recht angenommen werden, wenn die Leitungsposition, über deren Besetzung allein eine staatliche Stelle bestimmt, mit programmrelevanten Kompetenzen ausgestattet ist. </w:t>
      </w:r>
    </w:p>
    <w:p w14:paraId="40E72B1B" w14:textId="7BB29F0C" w:rsidR="00457DEF" w:rsidRDefault="00457DEF" w:rsidP="00EB625C">
      <w:pPr>
        <w:pStyle w:val="berschrift2"/>
      </w:pPr>
      <w:r>
        <w:lastRenderedPageBreak/>
        <w:t>Die Aufgaben der Direktorin der Landesmedienanstalt Saarland und ihre Programmrelevanz</w:t>
      </w:r>
    </w:p>
    <w:p w14:paraId="0BB3DCD7" w14:textId="77777777" w:rsidR="00C14F68" w:rsidRDefault="000739FB" w:rsidP="00AC51B4">
      <w:r>
        <w:t>Dazu ist es notwendig, die Aufgaben der Direktorin bzw. des Direktors der Landesmedienanstalt Saarland</w:t>
      </w:r>
      <w:r w:rsidR="00AC51B4">
        <w:t xml:space="preserve"> (LMS)</w:t>
      </w:r>
      <w:r>
        <w:t xml:space="preserve"> in den Blick zu nehmen. Diese sind in </w:t>
      </w:r>
      <w:r w:rsidR="00AC51B4">
        <w:t xml:space="preserve">§ 58 Abs. 6, 7 SMG geregelt. Danach nimmt sie bzw. er alle Aufgaben der LMS wahr, soweit nicht ausdrücklich eine andere Zuständigkeit bestimmt ist. Zudem bereitet sie oder er die Entscheidungen des Medienrats vor und nimmt an dessen Sitzungen mit beratender Stimme teil. Schließlich vertritt sie bzw. er die LMS gerichtlich und außergerichtlich. </w:t>
      </w:r>
    </w:p>
    <w:p w14:paraId="50EE4274" w14:textId="5E4A2BD6" w:rsidR="000739FB" w:rsidRDefault="00C14F68" w:rsidP="00AC51B4">
      <w:r>
        <w:t>Unbeschadet der Aufgaben der gemeinsamen Kommission für Zulassung und Aufsicht (ZAK) aller Landesmedienanstalten</w:t>
      </w:r>
      <w:r w:rsidR="00B860D9">
        <w:t xml:space="preserve"> </w:t>
      </w:r>
      <w:r>
        <w:t xml:space="preserve">gegenüber den bundesweiten privaten Veranstaltern </w:t>
      </w:r>
      <w:r w:rsidR="00B860D9">
        <w:t>sind</w:t>
      </w:r>
      <w:r w:rsidR="00DC7DF0">
        <w:t xml:space="preserve"> die</w:t>
      </w:r>
      <w:r w:rsidR="00AC51B4">
        <w:t xml:space="preserve"> Aufgaben des Medienrats</w:t>
      </w:r>
      <w:r w:rsidR="00B860D9">
        <w:t xml:space="preserve"> im Bereich der nicht bundesweiten privaten Rundfunkveranstalter</w:t>
      </w:r>
      <w:r w:rsidR="00AC51B4">
        <w:t xml:space="preserve">, wie § 57 SMG verdeutlicht, in höchstem Maße programmrelevant. Dies gilt etwa, um nur einige Beispiele zu nennen, für die </w:t>
      </w:r>
      <w:r w:rsidR="00B15A37">
        <w:t>Aufgaben,</w:t>
      </w:r>
      <w:r w:rsidR="00AC51B4">
        <w:t xml:space="preserve"> über die Erteilung, die Rücknahme und den Widerruf der Zulassung an private</w:t>
      </w:r>
      <w:r w:rsidR="00B860D9">
        <w:t xml:space="preserve"> </w:t>
      </w:r>
      <w:r w:rsidR="00AC51B4">
        <w:t xml:space="preserve">Rundfunkveranstalter </w:t>
      </w:r>
      <w:r w:rsidR="00B15A37">
        <w:t>zu entscheiden (§ 57 Nr. 1</w:t>
      </w:r>
      <w:r w:rsidR="00DC7DF0">
        <w:t xml:space="preserve"> SMG</w:t>
      </w:r>
      <w:r w:rsidR="00B15A37">
        <w:t xml:space="preserve">), </w:t>
      </w:r>
      <w:r w:rsidR="00AC51B4">
        <w:t>über Verstöße gegen die Anforderungen dieses Gesetzes durch das Programm oder einzelne</w:t>
      </w:r>
      <w:r w:rsidR="00B15A37">
        <w:t xml:space="preserve"> </w:t>
      </w:r>
      <w:r w:rsidR="00AC51B4">
        <w:t>Sendungen oder Angebote privater Programmveranstalter</w:t>
      </w:r>
      <w:r w:rsidR="00B15A37">
        <w:t xml:space="preserve"> </w:t>
      </w:r>
      <w:r w:rsidR="00AC51B4">
        <w:t>oder private</w:t>
      </w:r>
      <w:r w:rsidR="00B860D9">
        <w:t>r</w:t>
      </w:r>
      <w:r w:rsidR="00AC51B4">
        <w:t xml:space="preserve"> Anbieter von Telemedien </w:t>
      </w:r>
      <w:r w:rsidR="00B15A37">
        <w:t>(§ 57 Nr. 2</w:t>
      </w:r>
      <w:r w:rsidR="00DC7DF0">
        <w:t xml:space="preserve"> SMG</w:t>
      </w:r>
      <w:r w:rsidR="00B15A37">
        <w:t xml:space="preserve">) sowie </w:t>
      </w:r>
      <w:r w:rsidR="00AC51B4">
        <w:t xml:space="preserve">über die Untersagung der Weiterverbreitung von Rundfunkprogrammen </w:t>
      </w:r>
      <w:r w:rsidR="00B15A37">
        <w:t>(</w:t>
      </w:r>
      <w:r w:rsidR="00AC51B4">
        <w:t>§ 5</w:t>
      </w:r>
      <w:r w:rsidR="00DC7DF0">
        <w:t>7</w:t>
      </w:r>
      <w:r w:rsidR="00AC51B4">
        <w:t xml:space="preserve"> </w:t>
      </w:r>
      <w:r w:rsidR="00B15A37">
        <w:t>Nr. 3</w:t>
      </w:r>
      <w:r w:rsidR="00DC7DF0">
        <w:t xml:space="preserve"> SMG</w:t>
      </w:r>
      <w:r w:rsidR="00B15A37">
        <w:t xml:space="preserve">) bzw. </w:t>
      </w:r>
      <w:r w:rsidR="00AC51B4">
        <w:t>über Verstöße gegen die Anforderungen dieses Gesetzes durch weiterverbreitete Rundfunkprogramme</w:t>
      </w:r>
      <w:r w:rsidR="00B15A37">
        <w:t xml:space="preserve"> (§ 54 Nr. 4) </w:t>
      </w:r>
      <w:r w:rsidR="00AC51B4">
        <w:t>zu befinden</w:t>
      </w:r>
      <w:r w:rsidR="00B15A37">
        <w:t xml:space="preserve"> und </w:t>
      </w:r>
      <w:r w:rsidR="00AC51B4">
        <w:t>über die Erteilung, die Rücknahme und den Widerruf der Zuweisung von Übertragungsmöglichkeiten sowie über die Weiterverbreitung von Angeboten in Kabelanlagen (§</w:t>
      </w:r>
      <w:r w:rsidR="00B15A37">
        <w:t xml:space="preserve"> 54 Nr. 6</w:t>
      </w:r>
      <w:r w:rsidR="00DC7DF0">
        <w:t xml:space="preserve"> SMG</w:t>
      </w:r>
      <w:r w:rsidR="00B15A37">
        <w:t>)</w:t>
      </w:r>
      <w:r w:rsidR="00AC51B4">
        <w:t xml:space="preserve"> zu entscheiden</w:t>
      </w:r>
      <w:r w:rsidR="00B15A37">
        <w:t xml:space="preserve">. </w:t>
      </w:r>
      <w:r w:rsidR="00621580">
        <w:t>Darauf</w:t>
      </w:r>
      <w:r w:rsidR="00B15A37">
        <w:t xml:space="preserve"> k</w:t>
      </w:r>
      <w:r w:rsidR="00621580">
        <w:t>ö</w:t>
      </w:r>
      <w:r w:rsidR="00B15A37">
        <w:t>nn</w:t>
      </w:r>
      <w:r w:rsidR="00621580">
        <w:t>en</w:t>
      </w:r>
      <w:r w:rsidR="00B15A37">
        <w:t xml:space="preserve"> die Direktorin bzw. der Direktor durch </w:t>
      </w:r>
      <w:r w:rsidR="00621580">
        <w:t xml:space="preserve">die Aufgabe, diese Entscheidungen vorzubereiten, in nicht unerheblichen </w:t>
      </w:r>
      <w:r w:rsidR="00B860D9">
        <w:t>A</w:t>
      </w:r>
      <w:r w:rsidR="00621580">
        <w:t>usmaß Einfluss nehmen. Verstärkt werden diese Einflussmöglichkeiten noch dadurch, dass sie bzw. er an den Sitzungen des Medienrates mit beratender Stimme teilnimmt.</w:t>
      </w:r>
    </w:p>
    <w:p w14:paraId="5206E8B4" w14:textId="339D39BF" w:rsidR="00621580" w:rsidRDefault="00621580" w:rsidP="00AC51B4">
      <w:r>
        <w:t xml:space="preserve">Die </w:t>
      </w:r>
      <w:proofErr w:type="spellStart"/>
      <w:r>
        <w:t>Progammrelevanz</w:t>
      </w:r>
      <w:proofErr w:type="spellEnd"/>
      <w:r>
        <w:t xml:space="preserve"> der Aufgaben der Direktorin bzw. des Direktors wird</w:t>
      </w:r>
      <w:r w:rsidR="00B860D9">
        <w:t xml:space="preserve"> zudem</w:t>
      </w:r>
      <w:r w:rsidR="00C14F68">
        <w:t xml:space="preserve"> dadurch</w:t>
      </w:r>
      <w:r>
        <w:t xml:space="preserve"> erheblich erhöht, dass sie bzw. er als gesetzlicher Vertreter</w:t>
      </w:r>
      <w:r w:rsidR="00D63766">
        <w:t xml:space="preserve"> der LMS gemäß § 104 des Medienstaatsvertrags (MStV)</w:t>
      </w:r>
      <w:r>
        <w:t xml:space="preserve"> der Kommission für Zulassung und Aufsicht (ZAK) der Landesmedienanstalten angehört, die ihrerseits</w:t>
      </w:r>
      <w:r w:rsidR="00D63766">
        <w:t xml:space="preserve"> gemäß § 105 Abs. 1 MStV</w:t>
      </w:r>
      <w:r>
        <w:t xml:space="preserve"> gewichtige programmrelevante </w:t>
      </w:r>
      <w:r w:rsidR="00D63766">
        <w:t>Aufgaben gegenüber bundesweiten privaten Rundfunkveranstaltern wahrnimmt</w:t>
      </w:r>
      <w:r w:rsidR="00B860D9">
        <w:t xml:space="preserve">. Dazu zählen, um nur zwei besonders gewichtige Beispiele zu nennen, Aufsichtsmaßnahmen gegenüber bundesweiten privaten </w:t>
      </w:r>
      <w:r w:rsidR="00B860D9">
        <w:lastRenderedPageBreak/>
        <w:t>Rundfunkveranstaltern (§ 105 Abs. 1 Nr. 1 MStV) sowie die Zulassung, Rücknahme oder Widerruf der Zulassung bundesweiter Veranstalter (§ 105 Abs. 1 Nr. 5 MStV).</w:t>
      </w:r>
    </w:p>
    <w:p w14:paraId="31BD2310" w14:textId="0E8C903D" w:rsidR="00B860D9" w:rsidRDefault="00B860D9" w:rsidP="00AC51B4">
      <w:r>
        <w:t xml:space="preserve">Es besteht demnach keinerlei Zweifel daran, dass die Aufgaben der Direktorin bzw. des Direktors </w:t>
      </w:r>
      <w:r w:rsidR="005D61A2">
        <w:t>der Landesmedienanstalt Saarland programmrelevant sind. Daher ist bei der Entscheidung, wer Direktorin bzw. Direktor wird, der Grundsatz der Staatsferne zu beachten. Dieser schließt es aus, dass die Adressaten des Gebots der Staatsferne, wozu auch und gerade Parlamentarier zählen, maßgeblichen Einfluss auf die Besetzung gewinnen.</w:t>
      </w:r>
    </w:p>
    <w:p w14:paraId="418637D2" w14:textId="356B5198" w:rsidR="00457DEF" w:rsidRDefault="00457DEF" w:rsidP="00EB625C">
      <w:pPr>
        <w:pStyle w:val="berschrift2"/>
      </w:pPr>
      <w:r>
        <w:t>Die Regelungen in den anderen Ländern</w:t>
      </w:r>
    </w:p>
    <w:p w14:paraId="79B0C59F" w14:textId="0F81AAEC" w:rsidR="000F6822" w:rsidRPr="001316BB" w:rsidRDefault="005D61A2" w:rsidP="003F5CAF">
      <w:r w:rsidRPr="003F5CAF">
        <w:t>Dem tragen nahezu alle anderen Landesmediengesetze Rechnung. So sieht</w:t>
      </w:r>
      <w:r w:rsidR="00597596" w:rsidRPr="003F5CAF">
        <w:t xml:space="preserve"> Art. 15 Abs. 1 </w:t>
      </w:r>
      <w:r w:rsidR="000F6822" w:rsidRPr="003F5CAF">
        <w:t>S</w:t>
      </w:r>
      <w:r w:rsidR="00597596" w:rsidRPr="003F5CAF">
        <w:t xml:space="preserve">atz 2 </w:t>
      </w:r>
      <w:proofErr w:type="spellStart"/>
      <w:r w:rsidR="00597596" w:rsidRPr="003F5CAF">
        <w:t>BayLMG</w:t>
      </w:r>
      <w:proofErr w:type="spellEnd"/>
      <w:r w:rsidR="00597596" w:rsidRPr="003F5CAF">
        <w:rPr>
          <w:rStyle w:val="Funotenzeichen"/>
        </w:rPr>
        <w:footnoteReference w:id="78"/>
      </w:r>
      <w:r w:rsidR="00597596" w:rsidRPr="003F5CAF">
        <w:t xml:space="preserve"> </w:t>
      </w:r>
      <w:r w:rsidR="000F6822" w:rsidRPr="003F5CAF">
        <w:t xml:space="preserve">für Bayern </w:t>
      </w:r>
      <w:r w:rsidR="00597596" w:rsidRPr="003F5CAF">
        <w:t>vor</w:t>
      </w:r>
      <w:r w:rsidR="000F6822" w:rsidRPr="003F5CAF">
        <w:t>, dass</w:t>
      </w:r>
      <w:r w:rsidR="00860792">
        <w:t xml:space="preserve"> die Präsidentin oder</w:t>
      </w:r>
      <w:r w:rsidR="000F6822" w:rsidRPr="003F5CAF">
        <w:t xml:space="preserve"> der Präsident </w:t>
      </w:r>
      <w:r w:rsidR="000F6822" w:rsidRPr="003F5CAF">
        <w:rPr>
          <w:color w:val="333333"/>
        </w:rPr>
        <w:t xml:space="preserve">von dem pluralistisch zusammengesetzten Medienrat nach Anhörung des Verwaltungsrats für fünf Jahre gewählt wird. Eine vergleichbare Regelung findet sich in Bremen mit 55 Abs. 1 </w:t>
      </w:r>
      <w:proofErr w:type="spellStart"/>
      <w:r w:rsidR="000F6822" w:rsidRPr="003F5CAF">
        <w:rPr>
          <w:color w:val="333333"/>
        </w:rPr>
        <w:t>BremLMG</w:t>
      </w:r>
      <w:proofErr w:type="spellEnd"/>
      <w:r w:rsidR="000F6822" w:rsidRPr="003F5CAF">
        <w:rPr>
          <w:color w:val="333333"/>
        </w:rPr>
        <w:t>,</w:t>
      </w:r>
      <w:r w:rsidR="000F6822" w:rsidRPr="003F5CAF">
        <w:rPr>
          <w:rStyle w:val="Funotenzeichen"/>
          <w:color w:val="333333"/>
        </w:rPr>
        <w:footnoteReference w:id="79"/>
      </w:r>
      <w:r w:rsidR="000F6822" w:rsidRPr="003F5CAF">
        <w:rPr>
          <w:color w:val="333333"/>
        </w:rPr>
        <w:t xml:space="preserve"> die ebenfalls vorgibt, dass die Wahl</w:t>
      </w:r>
      <w:r w:rsidR="00860792">
        <w:rPr>
          <w:color w:val="333333"/>
        </w:rPr>
        <w:t xml:space="preserve"> der Direktorin oder</w:t>
      </w:r>
      <w:r w:rsidR="003F5CAF">
        <w:rPr>
          <w:color w:val="333333"/>
        </w:rPr>
        <w:t xml:space="preserve"> des Direktors</w:t>
      </w:r>
      <w:r w:rsidR="000F6822" w:rsidRPr="003F5CAF">
        <w:rPr>
          <w:color w:val="333333"/>
        </w:rPr>
        <w:t xml:space="preserve"> durch den Medienrat auf die Dauer von fünf Jahren erfolgt. </w:t>
      </w:r>
      <w:r w:rsidR="00141388" w:rsidRPr="003F5CAF">
        <w:t>Auch i</w:t>
      </w:r>
      <w:r w:rsidR="001139D1" w:rsidRPr="003F5CAF">
        <w:t>n Hamburg und Schleswig-Holstein erfolgt die Wahl gemäß § 47 Abs. 1 Medienstaatsvertrag HSH</w:t>
      </w:r>
      <w:r w:rsidR="001139D1" w:rsidRPr="003F5CAF">
        <w:rPr>
          <w:rStyle w:val="Funotenzeichen"/>
        </w:rPr>
        <w:footnoteReference w:id="80"/>
      </w:r>
      <w:r w:rsidR="001139D1" w:rsidRPr="003F5CAF">
        <w:t xml:space="preserve"> durch den pluralistisch zusammengesetzten Medienrat auf die</w:t>
      </w:r>
      <w:r w:rsidR="00141388" w:rsidRPr="003F5CAF">
        <w:t xml:space="preserve"> </w:t>
      </w:r>
      <w:r w:rsidR="001139D1" w:rsidRPr="003F5CAF">
        <w:t>Dauer von fünf Jahren</w:t>
      </w:r>
      <w:r w:rsidR="00141388" w:rsidRPr="003F5CAF">
        <w:t>. Für Hessen enthält § 53 Abs. 1 HPRG</w:t>
      </w:r>
      <w:r w:rsidR="00141388" w:rsidRPr="003F5CAF">
        <w:rPr>
          <w:rStyle w:val="Funotenzeichen"/>
        </w:rPr>
        <w:footnoteReference w:id="81"/>
      </w:r>
      <w:r w:rsidR="00141388" w:rsidRPr="003F5CAF">
        <w:t xml:space="preserve"> eine ents</w:t>
      </w:r>
      <w:r w:rsidR="009E5928" w:rsidRPr="003F5CAF">
        <w:t>p</w:t>
      </w:r>
      <w:r w:rsidR="00141388" w:rsidRPr="003F5CAF">
        <w:t>rechende Regelung. Der Unterschied besteht lediglich darin, dass das pluralistisch zusammengesetzte Organ in Hessen gemäß §  48 Abs. 3 Nr. 1 HPRG</w:t>
      </w:r>
      <w:r w:rsidR="009E5928" w:rsidRPr="003F5CAF">
        <w:t xml:space="preserve"> als Versammlung bezeichnet wird. Auch in Mecklenburg-Vorpommern ist die Rechtslage </w:t>
      </w:r>
      <w:r w:rsidR="002522E4" w:rsidRPr="003F5CAF">
        <w:t>gemäß</w:t>
      </w:r>
      <w:r w:rsidR="009E5928" w:rsidRPr="003F5CAF">
        <w:t xml:space="preserve"> §</w:t>
      </w:r>
      <w:r w:rsidR="002522E4" w:rsidRPr="003F5CAF">
        <w:t xml:space="preserve"> 57 Abs. 1 Satz 3</w:t>
      </w:r>
      <w:r w:rsidR="009E5928" w:rsidRPr="003F5CAF">
        <w:t xml:space="preserve"> </w:t>
      </w:r>
      <w:proofErr w:type="spellStart"/>
      <w:r w:rsidR="009E5928" w:rsidRPr="003F5CAF">
        <w:t>RundfG</w:t>
      </w:r>
      <w:proofErr w:type="spellEnd"/>
      <w:r w:rsidR="009E5928" w:rsidRPr="003F5CAF">
        <w:t xml:space="preserve"> M-V</w:t>
      </w:r>
      <w:r w:rsidR="009E5928" w:rsidRPr="003F5CAF">
        <w:rPr>
          <w:rStyle w:val="Funotenzeichen"/>
        </w:rPr>
        <w:footnoteReference w:id="82"/>
      </w:r>
      <w:r w:rsidR="002522E4" w:rsidRPr="003F5CAF">
        <w:t xml:space="preserve"> vergleichbar. Dort trägt das pluralistisch zusammengesetzte Organ der Landesmedienanstalt gemäß § 51 Abs. 2 Nr. 1 </w:t>
      </w:r>
      <w:proofErr w:type="spellStart"/>
      <w:r w:rsidR="002522E4" w:rsidRPr="003F5CAF">
        <w:t>RundfG</w:t>
      </w:r>
      <w:proofErr w:type="spellEnd"/>
      <w:r w:rsidR="002522E4" w:rsidRPr="003F5CAF">
        <w:t xml:space="preserve"> M-V die Bezeichnung Medienausschuss. </w:t>
      </w:r>
      <w:r w:rsidR="003F5CAF">
        <w:t>I</w:t>
      </w:r>
      <w:r w:rsidR="002522E4" w:rsidRPr="003F5CAF">
        <w:t xml:space="preserve">n Niedersachsen wird die </w:t>
      </w:r>
      <w:r w:rsidR="002522E4" w:rsidRPr="003F5CAF">
        <w:lastRenderedPageBreak/>
        <w:t>Direktorin oder der Direktor von der Versammlung für die Dauer von fünf</w:t>
      </w:r>
      <w:r w:rsidR="001316BB" w:rsidRPr="003F5CAF">
        <w:t xml:space="preserve"> </w:t>
      </w:r>
      <w:r w:rsidR="002522E4" w:rsidRPr="003F5CAF">
        <w:t xml:space="preserve">Jahren gemäß § </w:t>
      </w:r>
      <w:r w:rsidR="001316BB" w:rsidRPr="003F5CAF">
        <w:t>47 Abs. 1</w:t>
      </w:r>
      <w:r w:rsidR="002522E4" w:rsidRPr="003F5CAF">
        <w:t xml:space="preserve"> </w:t>
      </w:r>
      <w:proofErr w:type="spellStart"/>
      <w:r w:rsidR="002522E4" w:rsidRPr="003F5CAF">
        <w:t>NMedienG</w:t>
      </w:r>
      <w:proofErr w:type="spellEnd"/>
      <w:r w:rsidR="002522E4" w:rsidRPr="003F5CAF">
        <w:rPr>
          <w:rStyle w:val="Funotenzeichen"/>
        </w:rPr>
        <w:footnoteReference w:id="83"/>
      </w:r>
      <w:r w:rsidR="001316BB" w:rsidRPr="003F5CAF">
        <w:t xml:space="preserve"> gewählt. </w:t>
      </w:r>
      <w:r w:rsidR="001316BB" w:rsidRPr="003F5CAF">
        <w:rPr>
          <w:color w:val="333333"/>
        </w:rPr>
        <w:t xml:space="preserve">Für Nordrhein-Westfalen sieht </w:t>
      </w:r>
      <w:r w:rsidR="000F6822" w:rsidRPr="003F5CAF">
        <w:t>§ 100 Abs. 1 LMG NRW</w:t>
      </w:r>
      <w:r w:rsidR="000F6822" w:rsidRPr="003F5CAF">
        <w:rPr>
          <w:rStyle w:val="Funotenzeichen"/>
        </w:rPr>
        <w:footnoteReference w:id="84"/>
      </w:r>
      <w:r w:rsidR="000F6822" w:rsidRPr="003F5CAF">
        <w:t xml:space="preserve"> </w:t>
      </w:r>
      <w:r w:rsidR="001316BB" w:rsidRPr="003F5CAF">
        <w:t xml:space="preserve">ebenfalls </w:t>
      </w:r>
      <w:r w:rsidR="000F6822" w:rsidRPr="003F5CAF">
        <w:t xml:space="preserve">vor, dass </w:t>
      </w:r>
      <w:r w:rsidR="000F6822" w:rsidRPr="003F5CAF">
        <w:rPr>
          <w:color w:val="333333"/>
        </w:rPr>
        <w:t>die Direktorin oder der Direktor von der pluralistisch zusammengesetzten Medienkommission für sechs Jahre gewählt wird.</w:t>
      </w:r>
      <w:r w:rsidR="001316BB" w:rsidRPr="003F5CAF">
        <w:rPr>
          <w:color w:val="333333"/>
        </w:rPr>
        <w:t xml:space="preserve"> Dem entspricht die Rechtslage in Rheinland-Pfalz.</w:t>
      </w:r>
      <w:r w:rsidR="003F5CAF">
        <w:rPr>
          <w:color w:val="333333"/>
        </w:rPr>
        <w:t xml:space="preserve"> </w:t>
      </w:r>
      <w:r w:rsidR="003F5CAF" w:rsidRPr="00035396">
        <w:rPr>
          <w:color w:val="333333"/>
        </w:rPr>
        <w:t xml:space="preserve">Dort bestimmt </w:t>
      </w:r>
      <w:r w:rsidR="00D8309B" w:rsidRPr="00035396">
        <w:rPr>
          <w:color w:val="333333"/>
        </w:rPr>
        <w:t>§</w:t>
      </w:r>
      <w:r w:rsidR="003F5CAF" w:rsidRPr="00035396">
        <w:rPr>
          <w:color w:val="333333"/>
        </w:rPr>
        <w:t xml:space="preserve"> 44 Abs. 1 Satz 1 LMG</w:t>
      </w:r>
      <w:r w:rsidR="00D8309B" w:rsidRPr="00035396">
        <w:rPr>
          <w:color w:val="333333"/>
        </w:rPr>
        <w:t>,</w:t>
      </w:r>
      <w:r w:rsidR="00035396" w:rsidRPr="00035396">
        <w:rPr>
          <w:rStyle w:val="Funotenzeichen"/>
          <w:color w:val="333333"/>
        </w:rPr>
        <w:footnoteReference w:id="85"/>
      </w:r>
      <w:r w:rsidR="00D8309B" w:rsidRPr="00035396">
        <w:rPr>
          <w:color w:val="333333"/>
        </w:rPr>
        <w:t xml:space="preserve"> </w:t>
      </w:r>
      <w:r w:rsidR="00D8309B" w:rsidRPr="00035396">
        <w:rPr>
          <w:color w:val="000000"/>
        </w:rPr>
        <w:t>dass die Direktorin oder der Direktor, die stellvertretende Direktorin oder der stellvertretende Direktor von der pluralistisch zusammengesetzten Versammlung für die</w:t>
      </w:r>
      <w:r w:rsidR="00D8309B">
        <w:rPr>
          <w:rFonts w:ascii="Verdana" w:hAnsi="Verdana"/>
          <w:color w:val="000000"/>
        </w:rPr>
        <w:t xml:space="preserve"> </w:t>
      </w:r>
      <w:r w:rsidR="00D8309B" w:rsidRPr="00035396">
        <w:rPr>
          <w:color w:val="000000"/>
        </w:rPr>
        <w:t>Dauer von sechs Jahren mit der Mehrheit der stimmberechtigten Mitglieder gewählt wird.</w:t>
      </w:r>
      <w:r w:rsidR="001316BB" w:rsidRPr="00035396">
        <w:rPr>
          <w:color w:val="333333"/>
        </w:rPr>
        <w:t xml:space="preserve"> In</w:t>
      </w:r>
      <w:r w:rsidR="001316BB" w:rsidRPr="003F5CAF">
        <w:rPr>
          <w:color w:val="333333"/>
        </w:rPr>
        <w:t xml:space="preserve"> Sachsen ist die </w:t>
      </w:r>
      <w:r w:rsidR="001316BB" w:rsidRPr="00D8309B">
        <w:t>Landesmedienanstalt</w:t>
      </w:r>
      <w:r w:rsidR="00D8309B">
        <w:rPr>
          <w:color w:val="333333"/>
        </w:rPr>
        <w:t xml:space="preserve"> zwar</w:t>
      </w:r>
      <w:r w:rsidR="001316BB" w:rsidRPr="003F5CAF">
        <w:rPr>
          <w:color w:val="333333"/>
        </w:rPr>
        <w:t xml:space="preserve"> anders strukturiert</w:t>
      </w:r>
      <w:r w:rsidR="00A847AC" w:rsidRPr="003F5CAF">
        <w:rPr>
          <w:color w:val="333333"/>
        </w:rPr>
        <w:t xml:space="preserve"> und verfügt gemäß</w:t>
      </w:r>
      <w:r w:rsidR="001316BB" w:rsidRPr="003F5CAF">
        <w:rPr>
          <w:color w:val="333333"/>
        </w:rPr>
        <w:t xml:space="preserve"> § </w:t>
      </w:r>
      <w:r w:rsidR="00A847AC" w:rsidRPr="003F5CAF">
        <w:rPr>
          <w:color w:val="333333"/>
        </w:rPr>
        <w:t>32 Abs. 1 Satz 1</w:t>
      </w:r>
      <w:r w:rsidR="001316BB" w:rsidRPr="003F5CAF">
        <w:t xml:space="preserve"> </w:t>
      </w:r>
      <w:proofErr w:type="spellStart"/>
      <w:r w:rsidR="001316BB" w:rsidRPr="003F5CAF">
        <w:t>SächsPRG</w:t>
      </w:r>
      <w:proofErr w:type="spellEnd"/>
      <w:r w:rsidR="001316BB" w:rsidRPr="003F5CAF">
        <w:rPr>
          <w:rStyle w:val="Funotenzeichen"/>
        </w:rPr>
        <w:footnoteReference w:id="86"/>
      </w:r>
      <w:r w:rsidR="00A847AC" w:rsidRPr="003F5CAF">
        <w:t xml:space="preserve"> über eine</w:t>
      </w:r>
      <w:r w:rsidR="00860792">
        <w:t xml:space="preserve"> Präsidentin oder eine</w:t>
      </w:r>
      <w:r w:rsidR="00A847AC" w:rsidRPr="003F5CAF">
        <w:t xml:space="preserve">n Präsidenten und gemäß § 33 Abs. 1 Satz 1 </w:t>
      </w:r>
      <w:proofErr w:type="spellStart"/>
      <w:r w:rsidR="00A847AC" w:rsidRPr="003F5CAF">
        <w:t>SächsPRG</w:t>
      </w:r>
      <w:proofErr w:type="spellEnd"/>
      <w:r w:rsidR="00860792">
        <w:t xml:space="preserve"> zusätzlich</w:t>
      </w:r>
      <w:r w:rsidR="00A847AC" w:rsidRPr="003F5CAF">
        <w:t xml:space="preserve"> über eine</w:t>
      </w:r>
      <w:r w:rsidR="00860792">
        <w:t xml:space="preserve"> Geschäftsführerin oder einen</w:t>
      </w:r>
      <w:r w:rsidR="00A847AC" w:rsidRPr="003F5CAF">
        <w:t xml:space="preserve"> Geschäftsführer. Beide werden nach diesen Vorschriften</w:t>
      </w:r>
      <w:r w:rsidR="00D8309B">
        <w:t xml:space="preserve"> aber</w:t>
      </w:r>
      <w:r w:rsidR="00A847AC" w:rsidRPr="003F5CAF">
        <w:t xml:space="preserve"> vom pluralistisch zusammengesetzten Medienrat gewählt. </w:t>
      </w:r>
      <w:r w:rsidR="00D165D7" w:rsidRPr="003F5CAF">
        <w:t>Auch i</w:t>
      </w:r>
      <w:r w:rsidR="00A847AC" w:rsidRPr="003F5CAF">
        <w:t>n Sachsen-Anhalt</w:t>
      </w:r>
      <w:r w:rsidR="00D165D7" w:rsidRPr="003F5CAF">
        <w:t xml:space="preserve"> </w:t>
      </w:r>
      <w:r w:rsidR="00D8309B">
        <w:t>weist</w:t>
      </w:r>
      <w:r w:rsidR="00D165D7" w:rsidRPr="003F5CAF">
        <w:t xml:space="preserve"> die </w:t>
      </w:r>
      <w:r w:rsidR="00D165D7" w:rsidRPr="003F5CAF">
        <w:rPr>
          <w:szCs w:val="24"/>
        </w:rPr>
        <w:t xml:space="preserve">Medienanstalt </w:t>
      </w:r>
      <w:r w:rsidR="00D8309B">
        <w:rPr>
          <w:szCs w:val="24"/>
        </w:rPr>
        <w:t>eine besondere</w:t>
      </w:r>
      <w:r w:rsidR="00D165D7" w:rsidRPr="003F5CAF">
        <w:rPr>
          <w:szCs w:val="24"/>
        </w:rPr>
        <w:t xml:space="preserve"> </w:t>
      </w:r>
      <w:r w:rsidR="00D8309B">
        <w:rPr>
          <w:szCs w:val="24"/>
        </w:rPr>
        <w:t>S</w:t>
      </w:r>
      <w:r w:rsidR="00D165D7" w:rsidRPr="003F5CAF">
        <w:rPr>
          <w:szCs w:val="24"/>
        </w:rPr>
        <w:t>truktur</w:t>
      </w:r>
      <w:r w:rsidR="00D8309B">
        <w:rPr>
          <w:szCs w:val="24"/>
        </w:rPr>
        <w:t xml:space="preserve"> auf</w:t>
      </w:r>
      <w:r w:rsidR="00D165D7" w:rsidRPr="003F5CAF">
        <w:rPr>
          <w:szCs w:val="24"/>
        </w:rPr>
        <w:t>. Ihre Organe sind gemäß</w:t>
      </w:r>
      <w:r w:rsidR="00A847AC" w:rsidRPr="003F5CAF">
        <w:rPr>
          <w:szCs w:val="24"/>
        </w:rPr>
        <w:t xml:space="preserve"> § </w:t>
      </w:r>
      <w:r w:rsidR="00D165D7" w:rsidRPr="003F5CAF">
        <w:rPr>
          <w:szCs w:val="24"/>
        </w:rPr>
        <w:t xml:space="preserve">40 Abs. 4 Satz 1 </w:t>
      </w:r>
      <w:proofErr w:type="spellStart"/>
      <w:r w:rsidR="00A847AC" w:rsidRPr="003F5CAF">
        <w:rPr>
          <w:szCs w:val="24"/>
        </w:rPr>
        <w:t>MedienG</w:t>
      </w:r>
      <w:proofErr w:type="spellEnd"/>
      <w:r w:rsidR="00A847AC" w:rsidRPr="003F5CAF">
        <w:rPr>
          <w:szCs w:val="24"/>
        </w:rPr>
        <w:t xml:space="preserve"> LSA</w:t>
      </w:r>
      <w:r w:rsidR="00A847AC" w:rsidRPr="003F5CAF">
        <w:rPr>
          <w:rStyle w:val="Funotenzeichen"/>
          <w:szCs w:val="24"/>
        </w:rPr>
        <w:footnoteReference w:id="87"/>
      </w:r>
      <w:r w:rsidR="00D165D7" w:rsidRPr="003F5CAF">
        <w:rPr>
          <w:szCs w:val="24"/>
        </w:rPr>
        <w:t xml:space="preserve"> die pluralistisch zusammengesetzte Versammlung und der Vorstand. Nach § 45 Abs. 1 Satz 1 </w:t>
      </w:r>
      <w:proofErr w:type="spellStart"/>
      <w:r w:rsidR="00D165D7" w:rsidRPr="003F5CAF">
        <w:rPr>
          <w:szCs w:val="24"/>
        </w:rPr>
        <w:t>MedienG</w:t>
      </w:r>
      <w:proofErr w:type="spellEnd"/>
      <w:r w:rsidR="00D165D7" w:rsidRPr="003F5CAF">
        <w:rPr>
          <w:szCs w:val="24"/>
        </w:rPr>
        <w:t xml:space="preserve"> LSA wählt die </w:t>
      </w:r>
      <w:r w:rsidR="00D165D7" w:rsidRPr="003F5CAF">
        <w:rPr>
          <w:szCs w:val="24"/>
          <w:shd w:val="clear" w:color="auto" w:fill="FFFFFF"/>
        </w:rPr>
        <w:t xml:space="preserve">Versammlung aus ihrer Mitte für die Dauer von sechs Jahren einen Vorsitzenden, einen ersten Stellvertreter und einen zweiten Stellvertreter, die den Vorstand bilden. In Thüringen bestimmt </w:t>
      </w:r>
      <w:r w:rsidR="00D165D7" w:rsidRPr="003F5CAF">
        <w:rPr>
          <w:szCs w:val="24"/>
        </w:rPr>
        <w:t>§</w:t>
      </w:r>
      <w:r w:rsidR="003F5CAF" w:rsidRPr="003F5CAF">
        <w:rPr>
          <w:szCs w:val="24"/>
        </w:rPr>
        <w:t xml:space="preserve"> 46 Abs. 1 Satz 1</w:t>
      </w:r>
      <w:r w:rsidR="00D165D7" w:rsidRPr="003F5CAF">
        <w:rPr>
          <w:szCs w:val="24"/>
        </w:rPr>
        <w:t xml:space="preserve"> </w:t>
      </w:r>
      <w:proofErr w:type="spellStart"/>
      <w:r w:rsidR="00D165D7" w:rsidRPr="003F5CAF">
        <w:rPr>
          <w:szCs w:val="24"/>
        </w:rPr>
        <w:t>ThürLMG</w:t>
      </w:r>
      <w:proofErr w:type="spellEnd"/>
      <w:r w:rsidR="00D165D7" w:rsidRPr="003F5CAF">
        <w:rPr>
          <w:rStyle w:val="Funotenzeichen"/>
          <w:szCs w:val="24"/>
        </w:rPr>
        <w:footnoteReference w:id="88"/>
      </w:r>
      <w:r w:rsidR="003F5CAF" w:rsidRPr="003F5CAF">
        <w:rPr>
          <w:szCs w:val="24"/>
        </w:rPr>
        <w:t>, dass</w:t>
      </w:r>
      <w:r w:rsidR="00860792">
        <w:rPr>
          <w:szCs w:val="24"/>
        </w:rPr>
        <w:t xml:space="preserve"> die Direktorin oder</w:t>
      </w:r>
      <w:r w:rsidR="003F5CAF" w:rsidRPr="003F5CAF">
        <w:rPr>
          <w:szCs w:val="24"/>
        </w:rPr>
        <w:t xml:space="preserve"> der Direktor von der pluralistisch zusammengesetzten Versammlung mit der Mehrheit der stimmberechtigten Mitglieder nach Ausschreibung der zu besetzenden Stelle auf die Dauer von sechs Ja</w:t>
      </w:r>
      <w:r w:rsidR="003F5CAF">
        <w:t>hren gewählt wird.</w:t>
      </w:r>
    </w:p>
    <w:p w14:paraId="360A3E17" w14:textId="29FA78C4" w:rsidR="000F6822" w:rsidRDefault="00D8309B" w:rsidP="003C1F22">
      <w:r>
        <w:t>Lediglich in Berlin/Brandenburg und in Baden-Württemberg w</w:t>
      </w:r>
      <w:r w:rsidR="00860792">
        <w:t>e</w:t>
      </w:r>
      <w:r>
        <w:t>rd</w:t>
      </w:r>
      <w:r w:rsidR="00860792">
        <w:t>en die Direktorin oder</w:t>
      </w:r>
      <w:r>
        <w:t xml:space="preserve"> der Direktor bzw.</w:t>
      </w:r>
      <w:r w:rsidR="00860792">
        <w:t xml:space="preserve"> die Präsidentin bzw. der</w:t>
      </w:r>
      <w:r>
        <w:t xml:space="preserve"> Präsident nicht von einem staatsfernen und pluralistisch zusammengesetzten Gremium gewählt. </w:t>
      </w:r>
      <w:r w:rsidR="000F6822" w:rsidRPr="003F5CAF">
        <w:t>In Berlin/Brandenburg erfolgt die Wahl</w:t>
      </w:r>
      <w:r w:rsidR="003C1F22" w:rsidRPr="003F5CAF">
        <w:t xml:space="preserve"> </w:t>
      </w:r>
      <w:r w:rsidR="000F6822" w:rsidRPr="003F5CAF">
        <w:t xml:space="preserve">zwar ebenfalls </w:t>
      </w:r>
      <w:r w:rsidR="003C1F22" w:rsidRPr="003F5CAF">
        <w:t xml:space="preserve">gemäß § 13 Abs. 1 Satz 1 des Staatsvertrags über die Zusammenarbeit zwischen Berlin und Brandenburg im </w:t>
      </w:r>
      <w:r w:rsidR="003C1F22" w:rsidRPr="003F5CAF">
        <w:lastRenderedPageBreak/>
        <w:t>Bereich der Medien</w:t>
      </w:r>
      <w:r w:rsidR="00860792" w:rsidRPr="003F5CAF">
        <w:rPr>
          <w:rStyle w:val="Funotenzeichen"/>
        </w:rPr>
        <w:footnoteReference w:id="89"/>
      </w:r>
      <w:r w:rsidR="003C1F22" w:rsidRPr="003F5CAF">
        <w:t xml:space="preserve"> durch den Medienrat. Dieser ist aber nach § 9 Abs. 1 des Staatsvertrags über die Zusammenarbeit zwischen Berlin und Brandenburg</w:t>
      </w:r>
      <w:r w:rsidR="00860792">
        <w:t xml:space="preserve"> im Bereich der Medien</w:t>
      </w:r>
      <w:r w:rsidR="003C1F22" w:rsidRPr="003F5CAF">
        <w:t xml:space="preserve"> nicht pluralistisch zusammengesetzt, sondern besteht aus neun Mitgliedern, die auf Grund ihrer Erfahrung und ihrer Sachkunde in besonderer Weise befähigt sein sollen, die Aufgaben nach diesem Staatsvertrag wahrzunehmen</w:t>
      </w:r>
      <w:r w:rsidR="001139D1" w:rsidRPr="003F5CAF">
        <w:t xml:space="preserve"> ( sog. Expertenmodell)</w:t>
      </w:r>
      <w:r w:rsidR="003C1F22" w:rsidRPr="003F5CAF">
        <w:t>. Gemäß § 10 Abs. 1 des Staatsvertrags über die Zusammenarbeit zwischen Berlin und Brandenburg</w:t>
      </w:r>
      <w:r w:rsidR="00860792">
        <w:t xml:space="preserve"> im Bereich der Medien</w:t>
      </w:r>
      <w:r w:rsidR="003C1F22" w:rsidRPr="003F5CAF">
        <w:t xml:space="preserve"> werden je vier Mitglieder vom Brandenburger Landtag und vom Abgeordnetenhaus von Berlin jeweils mit der Mehrheit der gesetzlichen Mitgliederzahl gewählt. Ein weiteres Mitglied, das zugleich den Vorsitz im Medienrat innehat, wird von beiden Länderparlamenten jeweils mit einer Mehrheit von zwei Dritteln ihrer gesetzlichen Mitgliederzahl gewählt.</w:t>
      </w:r>
      <w:r w:rsidR="00860792">
        <w:t xml:space="preserve"> Dieses Modell weist zwar ebenfalls eine gewisse, durchaus nicht unbedenkliche Staatsnähe auf, ist aber mit der saarländischen Rechtslage nicht vergleichbar.</w:t>
      </w:r>
    </w:p>
    <w:p w14:paraId="3A47C539" w14:textId="71261180" w:rsidR="00D8309B" w:rsidRDefault="00D8309B" w:rsidP="00D76988">
      <w:r>
        <w:t xml:space="preserve">Der saarländischen Regelung vergleichbar ist lediglich die Rechtslage in Baden-Württemberg. </w:t>
      </w:r>
      <w:r w:rsidR="00035396">
        <w:t>Dort wird die Landesmedienanstalt als Landesanstalt für Kommunikation</w:t>
      </w:r>
      <w:r w:rsidR="008729CE">
        <w:t xml:space="preserve"> bezeichnet. Sie verfügt gemäß</w:t>
      </w:r>
      <w:r w:rsidR="00035396">
        <w:t xml:space="preserve"> §</w:t>
      </w:r>
      <w:r w:rsidR="008729CE">
        <w:t xml:space="preserve"> 29</w:t>
      </w:r>
      <w:r w:rsidR="00D76988">
        <w:t xml:space="preserve"> Abs. 2 Satz 1</w:t>
      </w:r>
      <w:r w:rsidR="00035396">
        <w:t xml:space="preserve"> </w:t>
      </w:r>
      <w:proofErr w:type="spellStart"/>
      <w:r w:rsidR="00035396">
        <w:t>LMedienG</w:t>
      </w:r>
      <w:proofErr w:type="spellEnd"/>
      <w:r w:rsidR="00035396">
        <w:rPr>
          <w:rStyle w:val="Funotenzeichen"/>
        </w:rPr>
        <w:footnoteReference w:id="90"/>
      </w:r>
      <w:r w:rsidR="00035396">
        <w:t xml:space="preserve"> </w:t>
      </w:r>
      <w:r w:rsidR="00D76988">
        <w:t>über die Organe Vorstand und Medienrat, der pluralistisch zusammengesetzt ist. D</w:t>
      </w:r>
      <w:r w:rsidR="00035396">
        <w:t xml:space="preserve">er </w:t>
      </w:r>
      <w:r w:rsidR="00D76988">
        <w:t xml:space="preserve">Vorstand besteht gemäß § 34 Abs. 1 Satz 1 </w:t>
      </w:r>
      <w:proofErr w:type="spellStart"/>
      <w:r w:rsidR="00D76988">
        <w:t>LMedienG</w:t>
      </w:r>
      <w:proofErr w:type="spellEnd"/>
      <w:r w:rsidR="00D76988">
        <w:t xml:space="preserve"> aus einem hauptamtlichen Vorsitzenden, einem stellvertretenden Vorsitzenden und drei weiteren Mitgliedern. Der Vorsitzende, der stellvertretende Vorsitzende, die weiteren ehrenamtlichen Mitglieder des Vorstands und für jedes ehrenamtliche Mitglied ein Stellvertreter, werden gemäß § 36 Abs. 1 Satz 1 </w:t>
      </w:r>
      <w:proofErr w:type="spellStart"/>
      <w:r w:rsidR="00D76988">
        <w:t>LMedienG</w:t>
      </w:r>
      <w:proofErr w:type="spellEnd"/>
      <w:r w:rsidR="00D76988">
        <w:t xml:space="preserve"> vom Landtag mit einer Mehrheit von zwei Dritteln seiner Mitglieder gewählt. Dem Vorsitzenden des Vorstands obliegen gemäß § 39 </w:t>
      </w:r>
      <w:proofErr w:type="spellStart"/>
      <w:r w:rsidR="00D76988">
        <w:t>LMedienG</w:t>
      </w:r>
      <w:proofErr w:type="spellEnd"/>
      <w:r w:rsidR="00D76988">
        <w:t xml:space="preserve"> Aufgaben, die denen eines Direktors bzw. Präsidenten einer Landesmedienanstalt entsprechen.</w:t>
      </w:r>
      <w:r w:rsidR="00860792">
        <w:t xml:space="preserve"> Daher ist auch die baden-württembergische Regelung mit dem Gebot der Staatsferne nicht vereinbar.</w:t>
      </w:r>
    </w:p>
    <w:p w14:paraId="5C7A612C" w14:textId="0AF9E370" w:rsidR="00457DEF" w:rsidRDefault="00457DEF" w:rsidP="00EB625C">
      <w:pPr>
        <w:pStyle w:val="berschrift2"/>
      </w:pPr>
      <w:r>
        <w:t>Ergebnis</w:t>
      </w:r>
    </w:p>
    <w:p w14:paraId="2F96F09E" w14:textId="0DC6DD5C" w:rsidR="00457DEF" w:rsidRDefault="00457DEF" w:rsidP="00457DEF">
      <w:r>
        <w:t xml:space="preserve">Die Regelung über die Wahl der Direktorin </w:t>
      </w:r>
      <w:r w:rsidR="00B43CBB">
        <w:t>oder</w:t>
      </w:r>
      <w:r>
        <w:t xml:space="preserve"> des Direktors der Landesmedienanstalt Saarland in § 58 Abs. 1, 3 SMG verstößt in eklatanter Weise </w:t>
      </w:r>
      <w:r>
        <w:lastRenderedPageBreak/>
        <w:t xml:space="preserve">gegen den Grundsatz der Staatsferne. Da die Direktorin bzw. der Direktor Aufgaben wahrnimmt, die in nicht unerheblichem Ausmaß programmrelevant </w:t>
      </w:r>
      <w:r w:rsidR="00B43CBB">
        <w:t>sind, darf über die Besetzung dieser Position nur ein staatsfern zusammengesetztes Gremium entscheiden. Dem tragen auch nahezu alle anderen Landesmediengesetze bzw. Staatsverträge Rechnung und ordnen an, dass die Direktorin oder der Direktor bzw. der Präsidentin oder des Präsidenten durch das entsprechend dem Urteil des Bundesverfassungsgerichts zum ZDF-Staatsvertrag</w:t>
      </w:r>
      <w:r w:rsidR="00B43CBB">
        <w:rPr>
          <w:rStyle w:val="Funotenzeichen"/>
        </w:rPr>
        <w:footnoteReference w:id="91"/>
      </w:r>
      <w:r w:rsidR="00B43CBB">
        <w:t xml:space="preserve"> staatsfern zusammengesetzte</w:t>
      </w:r>
      <w:r w:rsidR="00E751F2">
        <w:t>,</w:t>
      </w:r>
      <w:r w:rsidR="00B43CBB">
        <w:t xml:space="preserve"> pluralistische Gremium der jeweiligen Landesmedienanstalt erfolgt.</w:t>
      </w:r>
    </w:p>
    <w:p w14:paraId="2126D8A2" w14:textId="799CE770" w:rsidR="00F45816" w:rsidRDefault="00F45816" w:rsidP="00EB625C">
      <w:pPr>
        <w:pStyle w:val="berschrift1"/>
      </w:pPr>
      <w:r>
        <w:t>Möglichkeit eines Normenkontrollverfahrens</w:t>
      </w:r>
    </w:p>
    <w:p w14:paraId="1367BD2F" w14:textId="59EC38BC" w:rsidR="00F45816" w:rsidRPr="00F45816" w:rsidRDefault="00F45816" w:rsidP="00F45816">
      <w:r>
        <w:t>Die Verfassungswidrigkeit der landesrechtlichen Bestimmungen der § 58 Abs. 1, 3 SMG kann im Wege eines Normenkontrollverfahren gemäß</w:t>
      </w:r>
      <w:r w:rsidRPr="001D3DBE">
        <w:t xml:space="preserve"> </w:t>
      </w:r>
      <w:r>
        <w:t>Art. 93 Abs. 1 Nr. 2 GG in Verbindung mit §§ 13 Nr. 6, 76 ff. BVerfGG beim Bundesverfassungsgericht geltend gemacht</w:t>
      </w:r>
      <w:r w:rsidR="00EB625C">
        <w:t xml:space="preserve"> und bei Erfolg verbindlich festgestellt</w:t>
      </w:r>
      <w:r>
        <w:t xml:space="preserve"> werden. Landesrecht ist tauglicher Gegenstand einer Normenkontrolle. Gemäß Art. 93 Abs. 1 Nr. 2 GG in Verbindung mit § 76 Abs. 1 BVerfGG ist ein Viertel der Mitglieder des Bundestages beteiligtenfähig, kann also ein</w:t>
      </w:r>
      <w:r w:rsidR="00F872FA">
        <w:t>en Antrag auf</w:t>
      </w:r>
      <w:r>
        <w:t xml:space="preserve"> Normen</w:t>
      </w:r>
      <w:r w:rsidR="00F872FA">
        <w:t>kontrolle stellen. Daher müssten</w:t>
      </w:r>
      <w:r w:rsidR="00342FD9">
        <w:t xml:space="preserve"> bei einer gegenwärtigen Mitgliederzahl von 709 Abgeordneten</w:t>
      </w:r>
      <w:r w:rsidR="00F872FA">
        <w:t xml:space="preserve"> mindestens</w:t>
      </w:r>
      <w:r w:rsidR="00342FD9">
        <w:t xml:space="preserve"> 178</w:t>
      </w:r>
      <w:r w:rsidR="00F872FA">
        <w:t xml:space="preserve"> </w:t>
      </w:r>
      <w:r w:rsidR="00342FD9">
        <w:t>A</w:t>
      </w:r>
      <w:r w:rsidR="00F872FA">
        <w:t>bgeordnete den Antrag unterstützen</w:t>
      </w:r>
      <w:r w:rsidR="00342FD9">
        <w:t>. Diese Zahl würde deutlich überschritten, wenn sich alle Fraktionsmitglieder von Bündnis /Die Grünen, FDP und Die Linke als Antragsteller beteiligen, da sie zusammen über 216 Abgeordnete verfügen. In der Antragsschrift müsste dargetan werden, dass die Antragsteller von der Verfassungswidrigkeit der § 58 Abs. 1, 3 SMG, die zum Gegenstand des Normenkontrollverfahrens gemacht werden, überzeugt sind.</w:t>
      </w:r>
    </w:p>
    <w:p w14:paraId="4B0C7D74" w14:textId="79BC8987" w:rsidR="009345B1" w:rsidRDefault="004C080D" w:rsidP="004C080D">
      <w:pPr>
        <w:pStyle w:val="berschrift1"/>
      </w:pPr>
      <w:r>
        <w:t>Zusammenfassung in Thesen</w:t>
      </w:r>
    </w:p>
    <w:p w14:paraId="50F4EB0A" w14:textId="6B5CA109" w:rsidR="00B43CBB" w:rsidRDefault="00B43CBB" w:rsidP="00F0754E">
      <w:pPr>
        <w:ind w:left="709" w:hanging="709"/>
      </w:pPr>
      <w:r>
        <w:t>1.</w:t>
      </w:r>
      <w:r>
        <w:tab/>
        <w:t>Die Regelungen der § 58 Abs. 1 u. 3 SMG</w:t>
      </w:r>
      <w:r w:rsidR="00F0754E">
        <w:t>, die die Wahl der Direktorin oder des Direktors der Landesmedienanstalt Saarland zum Gegenstand haben, sind an den Vorgaben der Rundfunkfreiheit des Art. 5 Abs. 1 Satz 2 GG zu messen.</w:t>
      </w:r>
    </w:p>
    <w:p w14:paraId="5B9ABAF9" w14:textId="6AB4E388" w:rsidR="00F0754E" w:rsidRDefault="00F0754E" w:rsidP="00F0754E">
      <w:pPr>
        <w:ind w:left="709" w:hanging="709"/>
      </w:pPr>
      <w:r>
        <w:t>2</w:t>
      </w:r>
      <w:r>
        <w:tab/>
        <w:t>Aus diese Vorgaben ist insbesondere der Grundsatz der Staatsferne des Rundfunks abzuleiten, aus dem sich nach der Rechtsprechung des Bundesverfassungsgerichts spezifische Anforderungen ergeben</w:t>
      </w:r>
    </w:p>
    <w:p w14:paraId="3889CE92" w14:textId="367C85BC" w:rsidR="00F0754E" w:rsidRPr="00B43CBB" w:rsidRDefault="00F0754E" w:rsidP="00F0754E">
      <w:pPr>
        <w:ind w:left="709" w:hanging="709"/>
      </w:pPr>
      <w:r>
        <w:lastRenderedPageBreak/>
        <w:t>3.</w:t>
      </w:r>
      <w:r>
        <w:tab/>
        <w:t>Insbesondere müsse</w:t>
      </w:r>
      <w:r w:rsidR="00E751F2">
        <w:t>n</w:t>
      </w:r>
      <w:r>
        <w:t xml:space="preserve"> die Möglichkeiten</w:t>
      </w:r>
      <w:r w:rsidRPr="00705A8A">
        <w:rPr>
          <w:szCs w:val="24"/>
        </w:rPr>
        <w:t xml:space="preserve"> indirekter Einwirkung, mit denen sich staatliche Organe Einflu</w:t>
      </w:r>
      <w:r>
        <w:rPr>
          <w:szCs w:val="24"/>
        </w:rPr>
        <w:t>ss</w:t>
      </w:r>
      <w:r w:rsidRPr="00705A8A">
        <w:rPr>
          <w:szCs w:val="24"/>
        </w:rPr>
        <w:t xml:space="preserve"> auf das Programm verschaffen oder Druck auf die im Rundfunk Tätigen ausüben könn</w:t>
      </w:r>
      <w:r>
        <w:rPr>
          <w:szCs w:val="24"/>
        </w:rPr>
        <w:t>t</w:t>
      </w:r>
      <w:r w:rsidRPr="00705A8A">
        <w:rPr>
          <w:szCs w:val="24"/>
        </w:rPr>
        <w:t>en</w:t>
      </w:r>
      <w:r>
        <w:rPr>
          <w:szCs w:val="24"/>
        </w:rPr>
        <w:t>, durch geeignete verfahrensrechtliche Mittel vorbeugend unterbunden werden.</w:t>
      </w:r>
    </w:p>
    <w:p w14:paraId="3935ABF3" w14:textId="15B73494" w:rsidR="005E1164" w:rsidRDefault="00E751F2" w:rsidP="004C080D">
      <w:pPr>
        <w:ind w:left="709" w:hanging="709"/>
      </w:pPr>
      <w:r>
        <w:t>4</w:t>
      </w:r>
      <w:r w:rsidR="00632692">
        <w:t>.</w:t>
      </w:r>
      <w:r w:rsidR="004C080D">
        <w:tab/>
      </w:r>
      <w:r w:rsidR="00F0754E">
        <w:t>Die Bestimmungen der § 58 Abs. 1, 3 SMG</w:t>
      </w:r>
      <w:r w:rsidR="00C16D75">
        <w:t xml:space="preserve"> sehen vor, dass die Wahl der Direktorin </w:t>
      </w:r>
      <w:r w:rsidR="00F0754E">
        <w:t>oder</w:t>
      </w:r>
      <w:r w:rsidR="00C16D75">
        <w:t xml:space="preserve"> des Direktors der Landesmedienanstalt Saarland nach Ablauf der Amtsperiode bzw. beim vorzeitigen Ausscheiden des bisherigen Amtsinhabers durch den Landtag mit qualifizierter Mehrheit erfolgt.</w:t>
      </w:r>
      <w:r w:rsidR="00632692">
        <w:t xml:space="preserve"> </w:t>
      </w:r>
      <w:r w:rsidR="00C16D75">
        <w:t xml:space="preserve">Dagegen </w:t>
      </w:r>
      <w:r w:rsidR="00B43CBB">
        <w:t>übertragen nahezu alle</w:t>
      </w:r>
      <w:r w:rsidR="00C16D75">
        <w:t xml:space="preserve"> anderen Länder </w:t>
      </w:r>
      <w:r w:rsidR="00B43CBB">
        <w:t>die</w:t>
      </w:r>
      <w:r w:rsidR="00C16D75">
        <w:t xml:space="preserve"> Wahl </w:t>
      </w:r>
      <w:r w:rsidR="00B43CBB">
        <w:t>dem staatsfern zusammengesetzten pluralistischen</w:t>
      </w:r>
      <w:r w:rsidR="00C16D75">
        <w:t xml:space="preserve"> Hauptorgan der Landesmedienanstalt</w:t>
      </w:r>
      <w:r w:rsidR="00B43CBB">
        <w:t>.</w:t>
      </w:r>
    </w:p>
    <w:p w14:paraId="4953C7F6" w14:textId="3D72380F" w:rsidR="001058AB" w:rsidRDefault="00E751F2" w:rsidP="004C080D">
      <w:pPr>
        <w:ind w:left="709" w:hanging="709"/>
      </w:pPr>
      <w:r>
        <w:t>5</w:t>
      </w:r>
      <w:r w:rsidR="001058AB">
        <w:t>.</w:t>
      </w:r>
      <w:r w:rsidR="001058AB">
        <w:tab/>
        <w:t xml:space="preserve">Für die </w:t>
      </w:r>
      <w:r w:rsidR="001058AB" w:rsidRPr="001058AB">
        <w:t>Auswahl von Leitungspositionen</w:t>
      </w:r>
      <w:r w:rsidR="00001A65">
        <w:t xml:space="preserve"> i</w:t>
      </w:r>
      <w:r w:rsidR="001058AB">
        <w:t>st der Grundsatz der Staatsferne  einschlägig</w:t>
      </w:r>
      <w:r w:rsidR="00B43CBB">
        <w:t xml:space="preserve">, </w:t>
      </w:r>
      <w:r w:rsidR="00001A65">
        <w:t>wenn diese Leitungsposition mit programmrelevanten Aufgaben betraut ist.</w:t>
      </w:r>
    </w:p>
    <w:p w14:paraId="39EFAAB5" w14:textId="076134C8" w:rsidR="001058AB" w:rsidRDefault="00E751F2" w:rsidP="004C080D">
      <w:pPr>
        <w:ind w:left="709" w:hanging="709"/>
      </w:pPr>
      <w:r>
        <w:t>6</w:t>
      </w:r>
      <w:r w:rsidR="001058AB">
        <w:t>.</w:t>
      </w:r>
      <w:r w:rsidR="001058AB">
        <w:tab/>
        <w:t xml:space="preserve">Der Direktorin </w:t>
      </w:r>
      <w:r w:rsidR="00F0754E">
        <w:t>oder</w:t>
      </w:r>
      <w:r w:rsidR="001058AB">
        <w:t xml:space="preserve"> dem Direktor der Landesmedienanstalt Saarland obliegen Aufgaben, die in hohem Maße Programmrelevanz aufweisen.</w:t>
      </w:r>
    </w:p>
    <w:p w14:paraId="50C66B9C" w14:textId="2BCA2343" w:rsidR="00BE188A" w:rsidRDefault="00E751F2" w:rsidP="00D81E03">
      <w:pPr>
        <w:ind w:left="709" w:hanging="709"/>
      </w:pPr>
      <w:r>
        <w:t>7</w:t>
      </w:r>
      <w:r w:rsidR="00632692">
        <w:t xml:space="preserve">. </w:t>
      </w:r>
      <w:r w:rsidR="004C080D">
        <w:tab/>
      </w:r>
      <w:r w:rsidR="00F0754E">
        <w:t>Wegen dieser Programmrelevanz</w:t>
      </w:r>
      <w:r w:rsidR="001058AB">
        <w:t xml:space="preserve"> </w:t>
      </w:r>
      <w:r w:rsidR="00F0754E">
        <w:t>muss</w:t>
      </w:r>
      <w:r w:rsidR="00001A65">
        <w:t xml:space="preserve"> daher</w:t>
      </w:r>
      <w:r w:rsidR="00F0754E">
        <w:t xml:space="preserve"> bei der</w:t>
      </w:r>
      <w:r w:rsidR="001058AB">
        <w:t xml:space="preserve"> Wahl der Direktorin </w:t>
      </w:r>
      <w:r w:rsidR="00F43F1A">
        <w:t>oder</w:t>
      </w:r>
      <w:r w:rsidR="001058AB">
        <w:t xml:space="preserve"> des Direktors</w:t>
      </w:r>
      <w:r w:rsidR="00C16D75">
        <w:t xml:space="preserve"> </w:t>
      </w:r>
      <w:r w:rsidR="00001A65">
        <w:t>das</w:t>
      </w:r>
      <w:r w:rsidR="00C16D75">
        <w:t xml:space="preserve"> Gebot der </w:t>
      </w:r>
      <w:r w:rsidR="00D81E03">
        <w:t>S</w:t>
      </w:r>
      <w:r w:rsidR="00C16D75">
        <w:t xml:space="preserve">taatsferne </w:t>
      </w:r>
      <w:r w:rsidR="00001A65">
        <w:t>beachtet werden</w:t>
      </w:r>
      <w:r w:rsidR="00D81E03">
        <w:t>.</w:t>
      </w:r>
      <w:r w:rsidR="00632692">
        <w:t xml:space="preserve"> </w:t>
      </w:r>
    </w:p>
    <w:p w14:paraId="065D2EC6" w14:textId="5C6DB966" w:rsidR="00001A65" w:rsidRDefault="00E751F2" w:rsidP="00D81E03">
      <w:pPr>
        <w:ind w:left="709" w:hanging="709"/>
      </w:pPr>
      <w:r>
        <w:t>8.</w:t>
      </w:r>
      <w:r w:rsidR="00001A65">
        <w:tab/>
        <w:t>Adressat des Gebots der Staatsfern sind auch und gerade die Parlamentarier, die unbestritten dem Staat zuzurechnen sind.</w:t>
      </w:r>
    </w:p>
    <w:p w14:paraId="73903401" w14:textId="195760BD" w:rsidR="00001A65" w:rsidRDefault="00E751F2" w:rsidP="00D81E03">
      <w:pPr>
        <w:ind w:left="709" w:hanging="709"/>
      </w:pPr>
      <w:r>
        <w:t>9.</w:t>
      </w:r>
      <w:r w:rsidR="00001A65">
        <w:tab/>
        <w:t>Das Gebot der Staatsferne schließt es aus, dass der Staat bei der Auswahl der Direktorin oder des Direktors der Landesmedienanstalt Saarland maßgeblichen Einfluss besitzt.</w:t>
      </w:r>
    </w:p>
    <w:p w14:paraId="245F2E60" w14:textId="19BBE2D8" w:rsidR="00001A65" w:rsidRDefault="00001A65" w:rsidP="00D81E03">
      <w:pPr>
        <w:ind w:left="709" w:hanging="709"/>
      </w:pPr>
      <w:r>
        <w:t>10</w:t>
      </w:r>
      <w:r w:rsidR="00E751F2">
        <w:t>.</w:t>
      </w:r>
      <w:r>
        <w:tab/>
        <w:t xml:space="preserve">Die Wahl der Direktorin oder des Direktors der Landesmedienanstalt Saarland durch den Landtag, also durch ausschließlich staatliche Vertreter, verstößt eklatant gegen das Gebot der Staatsferne und damit gegen die Rundfunkfreiheit des Art. 5 Abs. 1 Satz 2 GG. </w:t>
      </w:r>
    </w:p>
    <w:p w14:paraId="57FA3010" w14:textId="1440E5C6" w:rsidR="00E751F2" w:rsidRPr="00046937" w:rsidRDefault="00E751F2" w:rsidP="00D81E03">
      <w:pPr>
        <w:ind w:left="709" w:hanging="709"/>
      </w:pPr>
      <w:r>
        <w:t>11.</w:t>
      </w:r>
      <w:r>
        <w:tab/>
        <w:t>Dieser Verstoß der landesrechtlichen Bestimmungen der § 58 Abs. 1, 3 SMG kann von einem Viertel der Mitglieder des Bundestages im Wege einer abstrakten Normenkontrolle geltend gemacht werden.</w:t>
      </w:r>
    </w:p>
    <w:sectPr w:rsidR="00E751F2" w:rsidRPr="00046937" w:rsidSect="00C17AC2">
      <w:footerReference w:type="even" r:id="rId8"/>
      <w:footerReference w:type="default" r:id="rId9"/>
      <w:pgSz w:w="11906" w:h="16838"/>
      <w:pgMar w:top="1417" w:right="1417" w:bottom="1134"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DEA28F" w14:textId="77777777" w:rsidR="00ED473B" w:rsidRDefault="00ED473B" w:rsidP="00675D30">
      <w:r>
        <w:separator/>
      </w:r>
    </w:p>
  </w:endnote>
  <w:endnote w:type="continuationSeparator" w:id="0">
    <w:p w14:paraId="35BEEB89" w14:textId="77777777" w:rsidR="00ED473B" w:rsidRDefault="00ED473B" w:rsidP="00675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FormataBQ-Regular">
    <w:altName w:val="Cambria"/>
    <w:panose1 w:val="00000000000000000000"/>
    <w:charset w:val="00"/>
    <w:family w:val="moder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7A4D8F" w14:textId="77777777" w:rsidR="00ED473B" w:rsidRDefault="00ED473B" w:rsidP="00675D30">
    <w:pPr>
      <w:pStyle w:val="Fuzeile"/>
      <w:rPr>
        <w:rStyle w:val="Seitenzahl"/>
      </w:rPr>
    </w:pPr>
    <w:r>
      <w:rPr>
        <w:rStyle w:val="Seitenzahl"/>
      </w:rPr>
      <w:fldChar w:fldCharType="begin"/>
    </w:r>
    <w:r>
      <w:rPr>
        <w:rStyle w:val="Seitenzahl"/>
      </w:rPr>
      <w:instrText xml:space="preserve">PAGE  </w:instrText>
    </w:r>
    <w:r>
      <w:rPr>
        <w:rStyle w:val="Seitenzahl"/>
      </w:rPr>
      <w:fldChar w:fldCharType="end"/>
    </w:r>
  </w:p>
  <w:p w14:paraId="7CFE4162" w14:textId="77777777" w:rsidR="00ED473B" w:rsidRDefault="00ED473B" w:rsidP="00675D3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40580608"/>
      <w:docPartObj>
        <w:docPartGallery w:val="Page Numbers (Bottom of Page)"/>
        <w:docPartUnique/>
      </w:docPartObj>
    </w:sdtPr>
    <w:sdtEndPr/>
    <w:sdtContent>
      <w:p w14:paraId="6A33DCC0" w14:textId="77777777" w:rsidR="00ED473B" w:rsidRDefault="00ED473B">
        <w:pPr>
          <w:pStyle w:val="Fuzeile"/>
          <w:jc w:val="center"/>
        </w:pPr>
        <w:r>
          <w:fldChar w:fldCharType="begin"/>
        </w:r>
        <w:r>
          <w:instrText>PAGE   \* MERGEFORMAT</w:instrText>
        </w:r>
        <w:r>
          <w:fldChar w:fldCharType="separate"/>
        </w:r>
        <w:r w:rsidR="007126BA">
          <w:rPr>
            <w:noProof/>
          </w:rPr>
          <w:t>16</w:t>
        </w:r>
        <w:r>
          <w:fldChar w:fldCharType="end"/>
        </w:r>
      </w:p>
    </w:sdtContent>
  </w:sdt>
  <w:p w14:paraId="62A890E8" w14:textId="77777777" w:rsidR="00ED473B" w:rsidRDefault="00ED473B" w:rsidP="00C44D02">
    <w:pPr>
      <w:pStyle w:val="Fuzeile"/>
      <w:jc w:val="center"/>
      <w:rPr>
        <w:rStyle w:val="Seitenzah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1B146A" w14:textId="77777777" w:rsidR="00ED473B" w:rsidRDefault="00ED473B" w:rsidP="00675D30">
      <w:r>
        <w:separator/>
      </w:r>
    </w:p>
  </w:footnote>
  <w:footnote w:type="continuationSeparator" w:id="0">
    <w:p w14:paraId="18FA2B2B" w14:textId="77777777" w:rsidR="00ED473B" w:rsidRDefault="00ED473B" w:rsidP="00675D30">
      <w:r>
        <w:continuationSeparator/>
      </w:r>
    </w:p>
  </w:footnote>
  <w:footnote w:id="1">
    <w:p w14:paraId="7457F518" w14:textId="35AC6A07" w:rsidR="00EC4803" w:rsidRDefault="00EC4803" w:rsidP="00EC4803">
      <w:pPr>
        <w:pStyle w:val="Funotentext"/>
      </w:pPr>
      <w:r w:rsidRPr="00C742EB">
        <w:rPr>
          <w:rStyle w:val="Funotenzeichen"/>
        </w:rPr>
        <w:footnoteRef/>
      </w:r>
      <w:r w:rsidRPr="008B3EB7">
        <w:t xml:space="preserve"> </w:t>
      </w:r>
      <w:r w:rsidRPr="008B3EB7">
        <w:tab/>
        <w:t>Saarländisches</w:t>
      </w:r>
      <w:r>
        <w:t xml:space="preserve"> Mediengesetz in der Fassung der Bekanntmachung vom 27. Februar 2002, Amtsbl. 2002, S. 498 ff., S.754), zuletzt geändert durch Gesetz Nr. 1877 vom 10. Dezember 2015, Amtsbl. I. 2015, S. 913.</w:t>
      </w:r>
    </w:p>
  </w:footnote>
  <w:footnote w:id="2">
    <w:p w14:paraId="0616446D" w14:textId="6B5B5B64" w:rsidR="00EC4803" w:rsidRPr="008B3EB7" w:rsidRDefault="00EC4803">
      <w:pPr>
        <w:pStyle w:val="Funotentext"/>
      </w:pPr>
      <w:r w:rsidRPr="00C742EB">
        <w:rPr>
          <w:rStyle w:val="Funotenzeichen"/>
        </w:rPr>
        <w:footnoteRef/>
      </w:r>
      <w:r w:rsidRPr="008B3EB7">
        <w:t xml:space="preserve"> </w:t>
      </w:r>
      <w:r w:rsidR="00DB0EA1" w:rsidRPr="008B3EB7">
        <w:tab/>
        <w:t>Vgl. VG Saarlouis, Beschl. v. 2.4.2020, 2 L 115/20, juris.</w:t>
      </w:r>
    </w:p>
  </w:footnote>
  <w:footnote w:id="3">
    <w:p w14:paraId="1BEE1313" w14:textId="548990FC" w:rsidR="00DB0EA1" w:rsidRDefault="00DB0EA1" w:rsidP="00DB0EA1">
      <w:pPr>
        <w:pStyle w:val="Funotentext"/>
      </w:pPr>
      <w:r w:rsidRPr="00C742EB">
        <w:rPr>
          <w:rStyle w:val="Funotenzeichen"/>
        </w:rPr>
        <w:footnoteRef/>
      </w:r>
      <w:r w:rsidRPr="00C742EB">
        <w:rPr>
          <w:rStyle w:val="Funotenzeichen"/>
        </w:rPr>
        <w:t xml:space="preserve"> </w:t>
      </w:r>
      <w:r w:rsidRPr="008B3EB7">
        <w:tab/>
        <w:t>Vgl</w:t>
      </w:r>
      <w:r>
        <w:t xml:space="preserve">. dazu </w:t>
      </w:r>
      <w:r w:rsidRPr="00EC4803">
        <w:rPr>
          <w:i/>
          <w:iCs/>
        </w:rPr>
        <w:t>Hain</w:t>
      </w:r>
      <w:r>
        <w:t>, Grundlegende Fragen unbeantwortet, Anmerkungen zum Gerichtsbeschluss der Direktorenwahl bei der Medienanstalt Saarland, MK 8/2020, 16</w:t>
      </w:r>
      <w:r w:rsidR="00767454">
        <w:t>, 17 f</w:t>
      </w:r>
      <w:r>
        <w:t>.</w:t>
      </w:r>
    </w:p>
  </w:footnote>
  <w:footnote w:id="4">
    <w:p w14:paraId="751BA67D" w14:textId="5B1BAB03" w:rsidR="00DB0EA1" w:rsidRDefault="00DB0EA1" w:rsidP="00DB0EA1">
      <w:pPr>
        <w:pStyle w:val="Funotentext"/>
      </w:pPr>
      <w:r>
        <w:rPr>
          <w:rStyle w:val="Funotenzeichen"/>
        </w:rPr>
        <w:footnoteRef/>
      </w:r>
      <w:r>
        <w:t xml:space="preserve"> </w:t>
      </w:r>
      <w:r>
        <w:tab/>
        <w:t xml:space="preserve">Vgl. zum Sachverhalt VG Saarlouis, Beschl. v. 2.4.2020, 2 L 115/20, juris sowie </w:t>
      </w:r>
      <w:r w:rsidRPr="001C57FD">
        <w:rPr>
          <w:i/>
        </w:rPr>
        <w:t>Hain</w:t>
      </w:r>
      <w:r>
        <w:t>, MK 8/2020, 16 ff.</w:t>
      </w:r>
    </w:p>
  </w:footnote>
  <w:footnote w:id="5">
    <w:p w14:paraId="79BEA878" w14:textId="4F7C71EC" w:rsidR="00DB0EA1" w:rsidRPr="006755F9" w:rsidRDefault="00DB0EA1" w:rsidP="00DB0EA1">
      <w:pPr>
        <w:pStyle w:val="Funotentext"/>
      </w:pPr>
      <w:r>
        <w:rPr>
          <w:rStyle w:val="Funotenzeichen"/>
        </w:rPr>
        <w:footnoteRef/>
      </w:r>
      <w:r w:rsidRPr="006755F9">
        <w:t xml:space="preserve"> </w:t>
      </w:r>
      <w:r>
        <w:tab/>
      </w:r>
      <w:r w:rsidRPr="006755F9">
        <w:t xml:space="preserve">Vgl. VG Saarlouis, Beschl. </w:t>
      </w:r>
      <w:r>
        <w:t>v. 2.4.2020,</w:t>
      </w:r>
      <w:r w:rsidRPr="006755F9">
        <w:t xml:space="preserve"> 2 L 115/20, juris.</w:t>
      </w:r>
    </w:p>
  </w:footnote>
  <w:footnote w:id="6">
    <w:p w14:paraId="46229E79" w14:textId="32BC5AE5" w:rsidR="00767454" w:rsidRDefault="00767454" w:rsidP="00767454">
      <w:pPr>
        <w:pStyle w:val="Funotentext"/>
      </w:pPr>
      <w:r>
        <w:rPr>
          <w:rStyle w:val="Funotenzeichen"/>
        </w:rPr>
        <w:footnoteRef/>
      </w:r>
      <w:r>
        <w:t xml:space="preserve"> </w:t>
      </w:r>
      <w:r w:rsidR="008B3EB7">
        <w:tab/>
      </w:r>
      <w:r w:rsidRPr="006755F9">
        <w:t xml:space="preserve">Vgl. VG Saarlouis, Beschl. </w:t>
      </w:r>
      <w:r>
        <w:t>v. 2.4.2020,</w:t>
      </w:r>
      <w:r w:rsidRPr="006755F9">
        <w:t xml:space="preserve"> 2 L 115/20, juris.</w:t>
      </w:r>
    </w:p>
  </w:footnote>
  <w:footnote w:id="7">
    <w:p w14:paraId="7B2FFE8B" w14:textId="18D85263" w:rsidR="00767454" w:rsidRDefault="00767454" w:rsidP="00767454">
      <w:pPr>
        <w:pStyle w:val="Funotentext"/>
      </w:pPr>
      <w:r>
        <w:rPr>
          <w:rStyle w:val="Funotenzeichen"/>
        </w:rPr>
        <w:footnoteRef/>
      </w:r>
      <w:r>
        <w:t xml:space="preserve"> </w:t>
      </w:r>
      <w:r w:rsidR="008B3EB7">
        <w:tab/>
      </w:r>
      <w:r>
        <w:t>BVerfGE 136,</w:t>
      </w:r>
      <w:r w:rsidR="008B3EB7">
        <w:t xml:space="preserve"> </w:t>
      </w:r>
      <w:r>
        <w:t>9</w:t>
      </w:r>
      <w:r w:rsidR="008B3EB7">
        <w:t>.</w:t>
      </w:r>
    </w:p>
  </w:footnote>
  <w:footnote w:id="8">
    <w:p w14:paraId="3677B1F8" w14:textId="04CABA63" w:rsidR="00822004" w:rsidRDefault="00822004">
      <w:pPr>
        <w:pStyle w:val="Funotentext"/>
      </w:pPr>
      <w:r>
        <w:rPr>
          <w:rStyle w:val="Funotenzeichen"/>
        </w:rPr>
        <w:footnoteRef/>
      </w:r>
      <w:r>
        <w:t xml:space="preserve"> </w:t>
      </w:r>
      <w:r w:rsidR="008B3EB7">
        <w:tab/>
      </w:r>
      <w:r>
        <w:t xml:space="preserve">Dazu im Einzelnen </w:t>
      </w:r>
      <w:r w:rsidRPr="00822004">
        <w:rPr>
          <w:i/>
          <w:iCs/>
        </w:rPr>
        <w:t>Hain</w:t>
      </w:r>
      <w:r>
        <w:t>, MK 8/2020, 16 ff.</w:t>
      </w:r>
    </w:p>
  </w:footnote>
  <w:footnote w:id="9">
    <w:p w14:paraId="5BC64EF6" w14:textId="43FFFDC0" w:rsidR="00262C97" w:rsidRPr="00857DDF" w:rsidRDefault="00262C97" w:rsidP="00262C97">
      <w:pPr>
        <w:pStyle w:val="Funotentext"/>
      </w:pPr>
      <w:r w:rsidRPr="00C742EB">
        <w:rPr>
          <w:rStyle w:val="Funotenzeichen"/>
        </w:rPr>
        <w:footnoteRef/>
      </w:r>
      <w:r w:rsidRPr="008B3EB7">
        <w:t xml:space="preserve"> </w:t>
      </w:r>
      <w:r w:rsidR="008B3EB7">
        <w:tab/>
      </w:r>
      <w:r w:rsidRPr="00857DDF">
        <w:t>BVerfGE 12, 205 ff.; 31, 214 ff.; 57, 295 ff.; 73, 118 ff.; 74, 297 ff.;</w:t>
      </w:r>
      <w:r w:rsidR="00C71842">
        <w:t xml:space="preserve"> 83, 238 ff.;</w:t>
      </w:r>
      <w:r w:rsidRPr="00857DDF">
        <w:t xml:space="preserve"> 87, 181 ff.; 90, 60 ff.; 119, 181 ff; 121, 30 ff.; 136, 9 ff.; </w:t>
      </w:r>
      <w:r>
        <w:t>149, 222 ff.</w:t>
      </w:r>
    </w:p>
  </w:footnote>
  <w:footnote w:id="10">
    <w:p w14:paraId="3F80D82E" w14:textId="3C34D611" w:rsidR="00C71842" w:rsidRPr="008B3EB7" w:rsidRDefault="00C71842">
      <w:pPr>
        <w:pStyle w:val="Funotentext"/>
      </w:pPr>
      <w:r w:rsidRPr="00C742EB">
        <w:rPr>
          <w:rStyle w:val="Funotenzeichen"/>
        </w:rPr>
        <w:footnoteRef/>
      </w:r>
      <w:r w:rsidRPr="00C742EB">
        <w:rPr>
          <w:rStyle w:val="Funotenzeichen"/>
        </w:rPr>
        <w:t xml:space="preserve"> </w:t>
      </w:r>
      <w:r w:rsidR="00C742EB">
        <w:tab/>
      </w:r>
      <w:r w:rsidRPr="008B3EB7">
        <w:t>Vgl. etwa BVerfGE 57, 295 ff.; 73, 118 ff.; 74, 297 ff.; 83, 238 ff.</w:t>
      </w:r>
    </w:p>
  </w:footnote>
  <w:footnote w:id="11">
    <w:p w14:paraId="43568785" w14:textId="52051554" w:rsidR="00C71842" w:rsidRPr="008B3EB7" w:rsidRDefault="00C71842">
      <w:pPr>
        <w:pStyle w:val="Funotentext"/>
      </w:pPr>
      <w:r w:rsidRPr="00C742EB">
        <w:rPr>
          <w:rStyle w:val="Funotenzeichen"/>
        </w:rPr>
        <w:footnoteRef/>
      </w:r>
      <w:r w:rsidRPr="008B3EB7">
        <w:t xml:space="preserve"> </w:t>
      </w:r>
      <w:r w:rsidR="00C742EB">
        <w:tab/>
      </w:r>
      <w:r w:rsidRPr="008B3EB7">
        <w:t>Vgl etwa BVerfGE 87, 181 ff; 90. 60 ff; 119, 181 ff u. 149, 222 ff.</w:t>
      </w:r>
    </w:p>
  </w:footnote>
  <w:footnote w:id="12">
    <w:p w14:paraId="43DB2226" w14:textId="351C8189" w:rsidR="008B3EB7" w:rsidRPr="008B3EB7" w:rsidRDefault="008B3EB7">
      <w:pPr>
        <w:pStyle w:val="Funotentext"/>
      </w:pPr>
      <w:r w:rsidRPr="00C742EB">
        <w:rPr>
          <w:rStyle w:val="Funotenzeichen"/>
        </w:rPr>
        <w:footnoteRef/>
      </w:r>
      <w:r w:rsidRPr="008B3EB7">
        <w:t xml:space="preserve"> Vgl</w:t>
      </w:r>
      <w:r w:rsidR="005F6DA6">
        <w:t>. etwa</w:t>
      </w:r>
      <w:r w:rsidRPr="008B3EB7">
        <w:t xml:space="preserve"> BVerfGE 12, 205</w:t>
      </w:r>
      <w:r>
        <w:t xml:space="preserve"> </w:t>
      </w:r>
      <w:r w:rsidR="00A874C5">
        <w:t>(</w:t>
      </w:r>
      <w:r>
        <w:t>263</w:t>
      </w:r>
      <w:r w:rsidR="00A874C5">
        <w:t>)</w:t>
      </w:r>
      <w:r>
        <w:t>;</w:t>
      </w:r>
      <w:r w:rsidR="005F6DA6">
        <w:t xml:space="preserve"> 121, 30 </w:t>
      </w:r>
      <w:r w:rsidR="00A874C5">
        <w:t>(</w:t>
      </w:r>
      <w:r w:rsidR="005F6DA6">
        <w:t>53</w:t>
      </w:r>
      <w:r w:rsidR="000C3B26">
        <w:t xml:space="preserve">, Rn. </w:t>
      </w:r>
      <w:r w:rsidR="009E095E">
        <w:t>97</w:t>
      </w:r>
      <w:r w:rsidR="00A874C5">
        <w:t>)</w:t>
      </w:r>
      <w:r w:rsidR="005F6DA6">
        <w:t>;</w:t>
      </w:r>
      <w:r>
        <w:t xml:space="preserve"> </w:t>
      </w:r>
      <w:r w:rsidR="005F6DA6">
        <w:t xml:space="preserve">136, 9 </w:t>
      </w:r>
      <w:r w:rsidR="00A874C5">
        <w:t>(</w:t>
      </w:r>
      <w:r w:rsidR="005F6DA6">
        <w:t>33 f.</w:t>
      </w:r>
      <w:r w:rsidR="000C3B26">
        <w:t>, Rn. 39</w:t>
      </w:r>
      <w:r w:rsidR="00A874C5">
        <w:t>)</w:t>
      </w:r>
      <w:r w:rsidR="00B35CE6">
        <w:t>.</w:t>
      </w:r>
      <w:r w:rsidRPr="008B3EB7">
        <w:t xml:space="preserve"> </w:t>
      </w:r>
    </w:p>
  </w:footnote>
  <w:footnote w:id="13">
    <w:p w14:paraId="61D0252E" w14:textId="72530027" w:rsidR="00262C97" w:rsidRPr="008B3EB7" w:rsidRDefault="00262C97" w:rsidP="00262C97">
      <w:pPr>
        <w:pStyle w:val="Funotentext"/>
      </w:pPr>
      <w:r w:rsidRPr="00C742EB">
        <w:rPr>
          <w:rStyle w:val="Funotenzeichen"/>
        </w:rPr>
        <w:footnoteRef/>
      </w:r>
      <w:r w:rsidRPr="008B3EB7">
        <w:t xml:space="preserve"> </w:t>
      </w:r>
      <w:r w:rsidR="00B43B50">
        <w:tab/>
      </w:r>
      <w:r w:rsidRPr="008B3EB7">
        <w:t xml:space="preserve">So bereits BVerfGE 12, 205 </w:t>
      </w:r>
      <w:r w:rsidR="00A874C5">
        <w:t>(</w:t>
      </w:r>
      <w:r w:rsidRPr="008B3EB7">
        <w:t>260 f.</w:t>
      </w:r>
      <w:r w:rsidR="00A874C5">
        <w:t>)</w:t>
      </w:r>
      <w:r w:rsidR="00B35CE6">
        <w:t>.</w:t>
      </w:r>
      <w:r w:rsidRPr="008B3EB7">
        <w:t xml:space="preserve"> </w:t>
      </w:r>
    </w:p>
  </w:footnote>
  <w:footnote w:id="14">
    <w:p w14:paraId="4D89464C" w14:textId="4722307A" w:rsidR="00262C97" w:rsidRPr="008B3EB7" w:rsidRDefault="00262C97" w:rsidP="00262C97">
      <w:pPr>
        <w:pStyle w:val="Funotentext"/>
      </w:pPr>
      <w:r w:rsidRPr="00C742EB">
        <w:rPr>
          <w:rStyle w:val="Funotenzeichen"/>
        </w:rPr>
        <w:footnoteRef/>
      </w:r>
      <w:r w:rsidRPr="00C742EB">
        <w:rPr>
          <w:rStyle w:val="Funotenzeichen"/>
        </w:rPr>
        <w:t xml:space="preserve"> </w:t>
      </w:r>
      <w:r w:rsidR="00B43B50">
        <w:tab/>
      </w:r>
      <w:r w:rsidRPr="008B3EB7">
        <w:t xml:space="preserve">Vgl. </w:t>
      </w:r>
      <w:r w:rsidRPr="008B3EB7">
        <w:rPr>
          <w:i/>
        </w:rPr>
        <w:t>Dörr/Schwartmann</w:t>
      </w:r>
      <w:r w:rsidRPr="008B3EB7">
        <w:t>, Medienrecht,</w:t>
      </w:r>
      <w:r w:rsidR="0047468D">
        <w:t xml:space="preserve"> 6. Aufl. 2019,</w:t>
      </w:r>
      <w:r w:rsidRPr="008B3EB7">
        <w:t xml:space="preserve"> Rn. 173.</w:t>
      </w:r>
    </w:p>
  </w:footnote>
  <w:footnote w:id="15">
    <w:p w14:paraId="14FC6976" w14:textId="39D37C42" w:rsidR="00262C97" w:rsidRPr="008B3EB7" w:rsidRDefault="00262C97" w:rsidP="008B3EB7">
      <w:pPr>
        <w:pStyle w:val="Funotentext"/>
      </w:pPr>
      <w:r w:rsidRPr="00C742EB">
        <w:rPr>
          <w:rStyle w:val="Funotenzeichen"/>
        </w:rPr>
        <w:footnoteRef/>
      </w:r>
      <w:r w:rsidRPr="008B3EB7">
        <w:rPr>
          <w:rStyle w:val="Italic"/>
        </w:rPr>
        <w:t xml:space="preserve"> </w:t>
      </w:r>
      <w:r w:rsidR="00B43B50">
        <w:rPr>
          <w:rStyle w:val="Italic"/>
        </w:rPr>
        <w:tab/>
      </w:r>
      <w:r w:rsidRPr="008B3EB7">
        <w:rPr>
          <w:rStyle w:val="Italic"/>
          <w:i w:val="0"/>
        </w:rPr>
        <w:t>BVerfGE</w:t>
      </w:r>
      <w:r w:rsidRPr="008B3EB7">
        <w:t xml:space="preserve"> 90, 60 </w:t>
      </w:r>
      <w:r w:rsidR="00A874C5">
        <w:t>(</w:t>
      </w:r>
      <w:r w:rsidRPr="008B3EB7">
        <w:t>88</w:t>
      </w:r>
      <w:r w:rsidR="009E095E">
        <w:t>, Rn. 147</w:t>
      </w:r>
      <w:r w:rsidR="00A874C5">
        <w:t>)</w:t>
      </w:r>
      <w:r w:rsidRPr="008B3EB7">
        <w:t xml:space="preserve">; 136, 9 </w:t>
      </w:r>
      <w:r w:rsidR="00A874C5">
        <w:t>(</w:t>
      </w:r>
      <w:r w:rsidRPr="008B3EB7">
        <w:t>33 f.</w:t>
      </w:r>
      <w:r w:rsidR="009E095E">
        <w:t>, Rn. 39</w:t>
      </w:r>
      <w:r w:rsidR="00A874C5">
        <w:t>)</w:t>
      </w:r>
      <w:r w:rsidR="00B35CE6">
        <w:t>.</w:t>
      </w:r>
    </w:p>
  </w:footnote>
  <w:footnote w:id="16">
    <w:p w14:paraId="35EF2C57" w14:textId="45AEB455" w:rsidR="00B43B50" w:rsidRPr="00B43B50" w:rsidRDefault="00B43B50">
      <w:pPr>
        <w:pStyle w:val="Funotentext"/>
      </w:pPr>
      <w:r w:rsidRPr="00C742EB">
        <w:rPr>
          <w:rStyle w:val="Funotenzeichen"/>
        </w:rPr>
        <w:footnoteRef/>
      </w:r>
      <w:r w:rsidRPr="00C742EB">
        <w:rPr>
          <w:rStyle w:val="Funotenzeichen"/>
        </w:rPr>
        <w:t xml:space="preserve"> </w:t>
      </w:r>
      <w:r>
        <w:tab/>
        <w:t xml:space="preserve">Vgl. </w:t>
      </w:r>
      <w:r w:rsidRPr="001C0B59">
        <w:rPr>
          <w:i/>
          <w:iCs/>
        </w:rPr>
        <w:t>Dörr/Schwartmann</w:t>
      </w:r>
      <w:r>
        <w:t>, Medienrecht,</w:t>
      </w:r>
      <w:r w:rsidR="00E55956">
        <w:t xml:space="preserve"> 6. Aufl. 2019</w:t>
      </w:r>
      <w:r w:rsidR="0047468D">
        <w:t>,</w:t>
      </w:r>
      <w:r>
        <w:t xml:space="preserve"> Rn 171 f.; zuletzt BVerfGE 136, 9 </w:t>
      </w:r>
      <w:r w:rsidR="00A874C5">
        <w:t>(</w:t>
      </w:r>
      <w:r>
        <w:t>28</w:t>
      </w:r>
      <w:r w:rsidR="009E095E">
        <w:t>, Rn. 29</w:t>
      </w:r>
      <w:r w:rsidR="00A874C5">
        <w:t>)</w:t>
      </w:r>
      <w:r>
        <w:t>.</w:t>
      </w:r>
    </w:p>
  </w:footnote>
  <w:footnote w:id="17">
    <w:p w14:paraId="08576A1D" w14:textId="2B94ACB2" w:rsidR="00B43B50" w:rsidRPr="001C0B59" w:rsidRDefault="00B43B50" w:rsidP="00B43B50">
      <w:pPr>
        <w:pStyle w:val="Funotentext"/>
      </w:pPr>
      <w:r w:rsidRPr="00C742EB">
        <w:rPr>
          <w:rStyle w:val="Funotenzeichen"/>
        </w:rPr>
        <w:footnoteRef/>
      </w:r>
      <w:r w:rsidRPr="00C742EB">
        <w:rPr>
          <w:rStyle w:val="Funotenzeichen"/>
        </w:rPr>
        <w:t xml:space="preserve"> </w:t>
      </w:r>
      <w:r w:rsidRPr="001C0B59">
        <w:tab/>
      </w:r>
      <w:r w:rsidR="001C0B59" w:rsidRPr="001C0B59">
        <w:t xml:space="preserve">BVerfGE 119, 181 </w:t>
      </w:r>
      <w:r w:rsidR="00A874C5">
        <w:t>(</w:t>
      </w:r>
      <w:r w:rsidR="001C0B59" w:rsidRPr="001C0B59">
        <w:t>214</w:t>
      </w:r>
      <w:r w:rsidR="009E095E">
        <w:t>, Rn. 115</w:t>
      </w:r>
      <w:r w:rsidR="00A874C5">
        <w:t>)</w:t>
      </w:r>
      <w:r w:rsidR="001C0B59" w:rsidRPr="001C0B59">
        <w:t>.</w:t>
      </w:r>
    </w:p>
  </w:footnote>
  <w:footnote w:id="18">
    <w:p w14:paraId="1C8E9941" w14:textId="16B1E1D3" w:rsidR="00B43B50" w:rsidRPr="001C0B59" w:rsidRDefault="00B43B50" w:rsidP="00B43B50">
      <w:pPr>
        <w:pStyle w:val="Funotentext"/>
      </w:pPr>
      <w:r w:rsidRPr="00C742EB">
        <w:rPr>
          <w:rStyle w:val="Funotenzeichen"/>
        </w:rPr>
        <w:footnoteRef/>
      </w:r>
      <w:r w:rsidRPr="001C0B59">
        <w:t xml:space="preserve"> </w:t>
      </w:r>
      <w:r w:rsidRPr="001C0B59">
        <w:tab/>
        <w:t xml:space="preserve">So BVerfGE 59, 231 </w:t>
      </w:r>
      <w:r w:rsidR="00A874C5">
        <w:t>(</w:t>
      </w:r>
      <w:r w:rsidRPr="001C0B59">
        <w:t>257</w:t>
      </w:r>
      <w:r w:rsidR="00A874C5">
        <w:t xml:space="preserve"> f.)</w:t>
      </w:r>
      <w:r w:rsidRPr="001C0B59">
        <w:t xml:space="preserve">; 73, 118 </w:t>
      </w:r>
      <w:r w:rsidR="00A874C5">
        <w:t>(</w:t>
      </w:r>
      <w:r w:rsidRPr="001C0B59">
        <w:t>152</w:t>
      </w:r>
      <w:r w:rsidR="00A874C5">
        <w:t>)</w:t>
      </w:r>
      <w:r w:rsidRPr="001C0B59">
        <w:t>.</w:t>
      </w:r>
    </w:p>
  </w:footnote>
  <w:footnote w:id="19">
    <w:p w14:paraId="259A075D" w14:textId="3F25A049" w:rsidR="00B43B50" w:rsidRDefault="00B43B50" w:rsidP="00C742EB">
      <w:pPr>
        <w:pStyle w:val="Funotentext"/>
      </w:pPr>
      <w:r w:rsidRPr="00C742EB">
        <w:rPr>
          <w:rStyle w:val="Funotenzeichen"/>
        </w:rPr>
        <w:footnoteRef/>
      </w:r>
      <w:r w:rsidRPr="001C0B59">
        <w:t xml:space="preserve"> </w:t>
      </w:r>
      <w:r w:rsidR="00C742EB">
        <w:tab/>
      </w:r>
      <w:r>
        <w:t>Siehe BVerfGE 73, 118</w:t>
      </w:r>
      <w:r w:rsidR="00C742EB">
        <w:t xml:space="preserve"> (</w:t>
      </w:r>
      <w:r>
        <w:t>158</w:t>
      </w:r>
      <w:r w:rsidR="00C742EB">
        <w:t>)</w:t>
      </w:r>
      <w:r>
        <w:t>.</w:t>
      </w:r>
    </w:p>
  </w:footnote>
  <w:footnote w:id="20">
    <w:p w14:paraId="36408132" w14:textId="77777777" w:rsidR="001C0B59" w:rsidRDefault="001C0B59" w:rsidP="001C0B59">
      <w:pPr>
        <w:pStyle w:val="Funotentext"/>
      </w:pPr>
      <w:r w:rsidRPr="00C742EB">
        <w:rPr>
          <w:rStyle w:val="Funotenzeichen"/>
        </w:rPr>
        <w:footnoteRef/>
      </w:r>
      <w:r>
        <w:t xml:space="preserve"> </w:t>
      </w:r>
      <w:r>
        <w:tab/>
        <w:t xml:space="preserve">Siehe hierzu </w:t>
      </w:r>
      <w:r>
        <w:rPr>
          <w:i/>
        </w:rPr>
        <w:t>Gersdorf</w:t>
      </w:r>
      <w:r>
        <w:t xml:space="preserve">, Grundzüge des Rundfunkrechts, 2003, Rn. 69 und </w:t>
      </w:r>
      <w:r w:rsidRPr="00FB5340">
        <w:rPr>
          <w:i/>
          <w:iCs/>
        </w:rPr>
        <w:t>Ricker/Schiwy</w:t>
      </w:r>
      <w:r w:rsidRPr="00864565">
        <w:rPr>
          <w:iCs/>
        </w:rPr>
        <w:t>,</w:t>
      </w:r>
      <w:r w:rsidRPr="00864565">
        <w:t xml:space="preserve"> Rundfunkverfassungsrecht,</w:t>
      </w:r>
      <w:r>
        <w:t xml:space="preserve"> 1997, B.</w:t>
      </w:r>
      <w:r w:rsidRPr="00864565">
        <w:t xml:space="preserve"> Rn</w:t>
      </w:r>
      <w:r>
        <w:t xml:space="preserve">. 130 ff. jeweils m. w. N.; </w:t>
      </w:r>
      <w:r w:rsidRPr="0052142D">
        <w:rPr>
          <w:i/>
        </w:rPr>
        <w:t>Fink</w:t>
      </w:r>
      <w:r>
        <w:t>, DÖV 1992, 805, 806 ff.</w:t>
      </w:r>
    </w:p>
  </w:footnote>
  <w:footnote w:id="21">
    <w:p w14:paraId="63A92D49" w14:textId="137AC84F" w:rsidR="001C0B59" w:rsidRDefault="001C0B59" w:rsidP="001C0B59">
      <w:pPr>
        <w:pStyle w:val="Funotentext"/>
      </w:pPr>
      <w:r w:rsidRPr="00C742EB">
        <w:rPr>
          <w:rStyle w:val="Funotenzeichen"/>
        </w:rPr>
        <w:footnoteRef/>
      </w:r>
      <w:r>
        <w:t xml:space="preserve"> </w:t>
      </w:r>
      <w:r>
        <w:tab/>
        <w:t xml:space="preserve">Siehe hierzu </w:t>
      </w:r>
      <w:r w:rsidRPr="00FE4EF0">
        <w:rPr>
          <w:i/>
        </w:rPr>
        <w:t>Dörr/Schwartmann</w:t>
      </w:r>
      <w:r w:rsidRPr="00FE4EF0">
        <w:t xml:space="preserve">, </w:t>
      </w:r>
      <w:r w:rsidR="0047468D">
        <w:t>Medienrecht, 6. Aufl. 2019,</w:t>
      </w:r>
      <w:r w:rsidRPr="00FE4EF0">
        <w:t xml:space="preserve"> Rn. 169</w:t>
      </w:r>
      <w:r>
        <w:t>, 171 ff.;</w:t>
      </w:r>
      <w:r w:rsidR="0047468D">
        <w:t xml:space="preserve"> grundlegend</w:t>
      </w:r>
      <w:r>
        <w:t xml:space="preserve"> zum dienenden Charakter der Rundfunkfreiheit </w:t>
      </w:r>
      <w:r w:rsidRPr="002904E7">
        <w:rPr>
          <w:i/>
        </w:rPr>
        <w:t>Burmeister</w:t>
      </w:r>
      <w:r>
        <w:t xml:space="preserve">, Medienmarkt und Menschenwürde, in: EMR (Hrsg.), EMR-Dialog, 1992, S. 38 </w:t>
      </w:r>
      <w:r w:rsidR="00A874C5">
        <w:t>(</w:t>
      </w:r>
      <w:r>
        <w:t>55 ff.</w:t>
      </w:r>
      <w:r w:rsidR="00A874C5">
        <w:t>)</w:t>
      </w:r>
      <w:r>
        <w:t xml:space="preserve">; </w:t>
      </w:r>
      <w:r w:rsidRPr="002904E7">
        <w:rPr>
          <w:i/>
        </w:rPr>
        <w:t>Stock</w:t>
      </w:r>
      <w:r>
        <w:t xml:space="preserve">, Medienfreiheit als Funktionsgrundrecht, 1985, S. 325 ff.; kritisch zu dieser Konzeption </w:t>
      </w:r>
      <w:r w:rsidRPr="002904E7">
        <w:rPr>
          <w:i/>
        </w:rPr>
        <w:t>Hain</w:t>
      </w:r>
      <w:r>
        <w:t>,</w:t>
      </w:r>
      <w:r w:rsidRPr="002904E7">
        <w:t xml:space="preserve"> Rundfunkfreiheit als „dienende Freiheit“ – ein Relikt?,</w:t>
      </w:r>
      <w:r>
        <w:t xml:space="preserve"> in:</w:t>
      </w:r>
      <w:r w:rsidRPr="002904E7">
        <w:t xml:space="preserve"> Bit</w:t>
      </w:r>
      <w:r>
        <w:t xml:space="preserve">burger Gespräche 48, Jahrbuch </w:t>
      </w:r>
      <w:r w:rsidRPr="002904E7">
        <w:t>2007/1, 2007, S.</w:t>
      </w:r>
      <w:r>
        <w:t xml:space="preserve"> 21, </w:t>
      </w:r>
      <w:r w:rsidR="00A874C5">
        <w:t>(</w:t>
      </w:r>
      <w:r>
        <w:t>22 ff.</w:t>
      </w:r>
      <w:r w:rsidR="00A874C5">
        <w:t>)</w:t>
      </w:r>
      <w:r>
        <w:t xml:space="preserve">; </w:t>
      </w:r>
      <w:r w:rsidRPr="002904E7">
        <w:rPr>
          <w:i/>
        </w:rPr>
        <w:t>Fink</w:t>
      </w:r>
      <w:r>
        <w:t xml:space="preserve">, DÖV 1992, 805, </w:t>
      </w:r>
      <w:r w:rsidR="00A874C5">
        <w:t>(</w:t>
      </w:r>
      <w:r>
        <w:t>806 ff.</w:t>
      </w:r>
      <w:r w:rsidR="00A874C5">
        <w:t>).</w:t>
      </w:r>
    </w:p>
  </w:footnote>
  <w:footnote w:id="22">
    <w:p w14:paraId="14A88C93" w14:textId="40D26A8A" w:rsidR="005F6DA6" w:rsidRPr="008B3EB7" w:rsidRDefault="005F6DA6" w:rsidP="005F6DA6">
      <w:pPr>
        <w:pStyle w:val="Funotentext"/>
      </w:pPr>
      <w:r w:rsidRPr="00C742EB">
        <w:rPr>
          <w:rStyle w:val="Funotenzeichen"/>
        </w:rPr>
        <w:footnoteRef/>
      </w:r>
      <w:r w:rsidRPr="00C742EB">
        <w:rPr>
          <w:rStyle w:val="Funotenzeichen"/>
        </w:rPr>
        <w:t xml:space="preserve"> </w:t>
      </w:r>
      <w:r w:rsidR="00B43B50">
        <w:tab/>
      </w:r>
      <w:r w:rsidRPr="008B3EB7">
        <w:rPr>
          <w:rStyle w:val="Italic"/>
          <w:i w:val="0"/>
        </w:rPr>
        <w:t>BVerfG</w:t>
      </w:r>
      <w:r w:rsidRPr="008B3EB7">
        <w:t xml:space="preserve">E 136, 9 </w:t>
      </w:r>
      <w:r w:rsidR="00C742EB">
        <w:t>(</w:t>
      </w:r>
      <w:r w:rsidRPr="008B3EB7">
        <w:t>33 f.</w:t>
      </w:r>
      <w:r w:rsidR="00C742EB">
        <w:t>, Rn. 38</w:t>
      </w:r>
      <w:r w:rsidR="008D1C34">
        <w:t xml:space="preserve"> f.</w:t>
      </w:r>
      <w:r w:rsidR="00C742EB">
        <w:t>),</w:t>
      </w:r>
      <w:r w:rsidRPr="008B3EB7">
        <w:t xml:space="preserve"> in der sich das Gericht ausdrücklich zum Begriff der Staatsferne bekennt und den Unterschied zur Staatsfreiheit hervorhebt.</w:t>
      </w:r>
    </w:p>
  </w:footnote>
  <w:footnote w:id="23">
    <w:p w14:paraId="758D5F2A" w14:textId="0BCCF94E" w:rsidR="005F6DA6" w:rsidRPr="008B3EB7" w:rsidRDefault="005F6DA6" w:rsidP="005F6DA6">
      <w:pPr>
        <w:pStyle w:val="Funotentext"/>
      </w:pPr>
      <w:r w:rsidRPr="00C742EB">
        <w:rPr>
          <w:rStyle w:val="Funotenzeichen"/>
        </w:rPr>
        <w:footnoteRef/>
      </w:r>
      <w:r w:rsidRPr="008B3EB7">
        <w:t xml:space="preserve"> </w:t>
      </w:r>
      <w:r w:rsidR="00B43B50">
        <w:tab/>
      </w:r>
      <w:r w:rsidR="00C742EB" w:rsidRPr="008B3EB7">
        <w:t xml:space="preserve">Vgl. etwa </w:t>
      </w:r>
      <w:r w:rsidR="00C742EB" w:rsidRPr="008B3EB7">
        <w:rPr>
          <w:rStyle w:val="Italic"/>
          <w:i w:val="0"/>
        </w:rPr>
        <w:t>BVerfGE</w:t>
      </w:r>
      <w:r w:rsidR="00C742EB" w:rsidRPr="008B3EB7">
        <w:t xml:space="preserve"> 12, 205 </w:t>
      </w:r>
      <w:r w:rsidR="00C742EB">
        <w:t>(</w:t>
      </w:r>
      <w:r w:rsidR="00C742EB" w:rsidRPr="008B3EB7">
        <w:t>262 f.</w:t>
      </w:r>
      <w:r w:rsidR="00C742EB">
        <w:t>)</w:t>
      </w:r>
      <w:r w:rsidR="00C742EB" w:rsidRPr="008B3EB7">
        <w:t xml:space="preserve">; 83, 238 </w:t>
      </w:r>
      <w:r w:rsidR="00C742EB">
        <w:t>(</w:t>
      </w:r>
      <w:r w:rsidR="00C742EB" w:rsidRPr="008B3EB7">
        <w:t>322</w:t>
      </w:r>
      <w:r w:rsidR="00C742EB">
        <w:t>)</w:t>
      </w:r>
      <w:r w:rsidR="00B35CE6">
        <w:t>.</w:t>
      </w:r>
    </w:p>
  </w:footnote>
  <w:footnote w:id="24">
    <w:p w14:paraId="122ED2CB" w14:textId="0736DDF1" w:rsidR="00E55956" w:rsidRDefault="00E55956">
      <w:pPr>
        <w:pStyle w:val="Funotentext"/>
      </w:pPr>
      <w:r>
        <w:rPr>
          <w:rStyle w:val="Funotenzeichen"/>
        </w:rPr>
        <w:footnoteRef/>
      </w:r>
      <w:r>
        <w:t xml:space="preserve"> </w:t>
      </w:r>
      <w:r>
        <w:tab/>
        <w:t xml:space="preserve">So BVerfGE 136, 9 </w:t>
      </w:r>
      <w:r w:rsidR="00C742EB">
        <w:t>(</w:t>
      </w:r>
      <w:r>
        <w:t>33</w:t>
      </w:r>
      <w:r w:rsidR="008D1C34">
        <w:t>, Rn. 38)</w:t>
      </w:r>
      <w:r>
        <w:t>; vgl. auch BVerfGE 12, 205</w:t>
      </w:r>
      <w:r w:rsidRPr="00E55956">
        <w:t xml:space="preserve"> </w:t>
      </w:r>
      <w:r w:rsidR="008D1C34">
        <w:t>(</w:t>
      </w:r>
      <w:hyperlink r:id="rId1" w:anchor="261" w:history="1">
        <w:r w:rsidRPr="00E55956">
          <w:rPr>
            <w:rStyle w:val="Hyperlink"/>
            <w:color w:val="auto"/>
            <w:u w:val="none"/>
          </w:rPr>
          <w:t>261</w:t>
        </w:r>
        <w:r w:rsidR="008D1C34">
          <w:rPr>
            <w:rStyle w:val="Hyperlink"/>
            <w:color w:val="auto"/>
            <w:u w:val="none"/>
          </w:rPr>
          <w:t xml:space="preserve"> </w:t>
        </w:r>
        <w:r w:rsidRPr="00E55956">
          <w:rPr>
            <w:rStyle w:val="Hyperlink"/>
            <w:color w:val="auto"/>
            <w:u w:val="none"/>
          </w:rPr>
          <w:t>ff.</w:t>
        </w:r>
      </w:hyperlink>
      <w:r w:rsidR="008D1C34">
        <w:rPr>
          <w:rStyle w:val="Hyperlink"/>
          <w:color w:val="auto"/>
          <w:u w:val="none"/>
        </w:rPr>
        <w:t>)</w:t>
      </w:r>
      <w:r w:rsidRPr="00E55956">
        <w:t xml:space="preserve">; </w:t>
      </w:r>
      <w:r>
        <w:t xml:space="preserve">57, 295 </w:t>
      </w:r>
      <w:r w:rsidR="008D1C34">
        <w:t>(</w:t>
      </w:r>
      <w:r>
        <w:t>320</w:t>
      </w:r>
      <w:r w:rsidR="008D1C34">
        <w:t>)</w:t>
      </w:r>
      <w:r>
        <w:t xml:space="preserve">; 83, 238 </w:t>
      </w:r>
      <w:r w:rsidR="008D1C34">
        <w:t>(</w:t>
      </w:r>
      <w:r>
        <w:t>296</w:t>
      </w:r>
      <w:r w:rsidR="008D1C34">
        <w:t>)</w:t>
      </w:r>
      <w:r>
        <w:t>.</w:t>
      </w:r>
    </w:p>
  </w:footnote>
  <w:footnote w:id="25">
    <w:p w14:paraId="67451B14" w14:textId="46F01010" w:rsidR="00581497" w:rsidRPr="00716549" w:rsidRDefault="00581497" w:rsidP="00581497">
      <w:pPr>
        <w:pStyle w:val="Funotentext"/>
      </w:pPr>
      <w:r w:rsidRPr="00762783">
        <w:rPr>
          <w:rStyle w:val="Funotenzeichen"/>
          <w:szCs w:val="24"/>
        </w:rPr>
        <w:footnoteRef/>
      </w:r>
      <w:r w:rsidRPr="00716549">
        <w:t xml:space="preserve"> </w:t>
      </w:r>
      <w:r w:rsidR="00B43B50" w:rsidRPr="00716549">
        <w:tab/>
      </w:r>
      <w:r w:rsidRPr="00716549">
        <w:t xml:space="preserve">So schon BVerfGE 12, 205 </w:t>
      </w:r>
      <w:r w:rsidR="008D1C34">
        <w:t>(</w:t>
      </w:r>
      <w:r w:rsidRPr="00716549">
        <w:t>262</w:t>
      </w:r>
      <w:r w:rsidR="008D1C34">
        <w:t>)</w:t>
      </w:r>
      <w:r w:rsidRPr="00716549">
        <w:t>.</w:t>
      </w:r>
    </w:p>
  </w:footnote>
  <w:footnote w:id="26">
    <w:p w14:paraId="612CB4C4" w14:textId="084CF7D9" w:rsidR="00581497" w:rsidRPr="00716549" w:rsidRDefault="00581497" w:rsidP="00AD291F">
      <w:pPr>
        <w:pStyle w:val="Funotentext"/>
      </w:pPr>
      <w:r w:rsidRPr="00762783">
        <w:rPr>
          <w:rStyle w:val="Funotenzeichen"/>
          <w:szCs w:val="24"/>
        </w:rPr>
        <w:footnoteRef/>
      </w:r>
      <w:r w:rsidRPr="00716549">
        <w:rPr>
          <w:i/>
          <w:iCs/>
        </w:rPr>
        <w:t xml:space="preserve"> </w:t>
      </w:r>
      <w:r w:rsidR="00AD291F" w:rsidRPr="00716549">
        <w:rPr>
          <w:i/>
          <w:iCs/>
        </w:rPr>
        <w:tab/>
      </w:r>
      <w:r w:rsidRPr="00716549">
        <w:rPr>
          <w:i/>
          <w:iCs/>
        </w:rPr>
        <w:t>Bethge</w:t>
      </w:r>
      <w:r w:rsidRPr="00716549">
        <w:t>, Rundfunkfreiheit und öffentlich-rechtlicher Organisationsvorbehalt,</w:t>
      </w:r>
      <w:r w:rsidR="00B35CE6">
        <w:t xml:space="preserve"> 1987,</w:t>
      </w:r>
      <w:r w:rsidRPr="00716549">
        <w:t xml:space="preserve"> S. 70.</w:t>
      </w:r>
    </w:p>
  </w:footnote>
  <w:footnote w:id="27">
    <w:p w14:paraId="7BD3A1C0" w14:textId="7147B2EE" w:rsidR="002E5773" w:rsidRPr="00716549" w:rsidRDefault="002E5773" w:rsidP="002E5773">
      <w:pPr>
        <w:pStyle w:val="Funotentext"/>
      </w:pPr>
      <w:r w:rsidRPr="00C742EB">
        <w:rPr>
          <w:rStyle w:val="Funotenzeichen"/>
        </w:rPr>
        <w:footnoteRef/>
      </w:r>
      <w:r w:rsidRPr="00716549">
        <w:t xml:space="preserve"> </w:t>
      </w:r>
      <w:r w:rsidRPr="00716549">
        <w:tab/>
        <w:t xml:space="preserve">Vgl. dazu auch </w:t>
      </w:r>
      <w:r w:rsidRPr="00716549">
        <w:rPr>
          <w:rStyle w:val="Italic"/>
          <w:i w:val="0"/>
        </w:rPr>
        <w:t>BVerfGE</w:t>
      </w:r>
      <w:r w:rsidRPr="00716549">
        <w:t xml:space="preserve"> 90, 60 </w:t>
      </w:r>
      <w:r w:rsidR="00A874C5">
        <w:t>(</w:t>
      </w:r>
      <w:r w:rsidRPr="00716549">
        <w:t>94</w:t>
      </w:r>
      <w:r w:rsidR="00A874C5">
        <w:t xml:space="preserve"> </w:t>
      </w:r>
      <w:r w:rsidRPr="00716549">
        <w:t>f.</w:t>
      </w:r>
      <w:r w:rsidR="00A874C5">
        <w:t>)</w:t>
      </w:r>
      <w:r w:rsidRPr="00716549">
        <w:t xml:space="preserve">; 119, 181 </w:t>
      </w:r>
      <w:r w:rsidR="00AD550C">
        <w:t>(</w:t>
      </w:r>
      <w:r w:rsidRPr="00716549">
        <w:t>222</w:t>
      </w:r>
      <w:r w:rsidR="00AD550C">
        <w:t>)</w:t>
      </w:r>
      <w:r w:rsidRPr="00716549">
        <w:t>.</w:t>
      </w:r>
    </w:p>
  </w:footnote>
  <w:footnote w:id="28">
    <w:p w14:paraId="20AF2D65" w14:textId="5FC58090" w:rsidR="002E5773" w:rsidRPr="00716549" w:rsidRDefault="002E5773" w:rsidP="002E5773">
      <w:pPr>
        <w:pStyle w:val="Funotentext"/>
      </w:pPr>
      <w:r w:rsidRPr="00C742EB">
        <w:rPr>
          <w:rStyle w:val="Funotenzeichen"/>
        </w:rPr>
        <w:footnoteRef/>
      </w:r>
      <w:r w:rsidRPr="00C742EB">
        <w:rPr>
          <w:rStyle w:val="Funotenzeichen"/>
        </w:rPr>
        <w:t xml:space="preserve"> </w:t>
      </w:r>
      <w:r w:rsidRPr="00716549">
        <w:tab/>
        <w:t>Vgl. BVerfGE 90, 60 (</w:t>
      </w:r>
      <w:hyperlink r:id="rId2" w:anchor="088" w:history="1">
        <w:r w:rsidRPr="00716549">
          <w:rPr>
            <w:rStyle w:val="Hyperlink"/>
            <w:color w:val="auto"/>
            <w:u w:val="none"/>
          </w:rPr>
          <w:t>88</w:t>
        </w:r>
      </w:hyperlink>
      <w:r w:rsidRPr="00716549">
        <w:t>); 121, 30 (</w:t>
      </w:r>
      <w:hyperlink r:id="rId3" w:anchor="053" w:history="1">
        <w:r w:rsidRPr="00716549">
          <w:rPr>
            <w:rStyle w:val="Hyperlink"/>
            <w:color w:val="auto"/>
            <w:u w:val="none"/>
          </w:rPr>
          <w:t>53</w:t>
        </w:r>
      </w:hyperlink>
      <w:r w:rsidRPr="00716549">
        <w:t>)</w:t>
      </w:r>
      <w:r w:rsidR="00B35CE6">
        <w:t>.</w:t>
      </w:r>
    </w:p>
  </w:footnote>
  <w:footnote w:id="29">
    <w:p w14:paraId="1B4503D0" w14:textId="571BC79C" w:rsidR="002E5773" w:rsidRPr="00716549" w:rsidRDefault="002E5773">
      <w:pPr>
        <w:pStyle w:val="Funotentext"/>
      </w:pPr>
      <w:r w:rsidRPr="00C742EB">
        <w:rPr>
          <w:rStyle w:val="Funotenzeichen"/>
        </w:rPr>
        <w:footnoteRef/>
      </w:r>
      <w:r w:rsidRPr="00716549">
        <w:t xml:space="preserve"> </w:t>
      </w:r>
      <w:r w:rsidRPr="00716549">
        <w:tab/>
        <w:t>BVerfGE 73, 118 (</w:t>
      </w:r>
      <w:hyperlink r:id="rId4" w:anchor="182" w:history="1">
        <w:r w:rsidRPr="00716549">
          <w:rPr>
            <w:rStyle w:val="Hyperlink"/>
            <w:color w:val="auto"/>
            <w:u w:val="none"/>
          </w:rPr>
          <w:t>182 ff.</w:t>
        </w:r>
      </w:hyperlink>
      <w:r w:rsidRPr="00716549">
        <w:t>); 83, 238 (</w:t>
      </w:r>
      <w:hyperlink r:id="rId5" w:anchor="322" w:history="1">
        <w:r w:rsidRPr="00716549">
          <w:rPr>
            <w:rStyle w:val="Hyperlink"/>
            <w:color w:val="auto"/>
            <w:u w:val="none"/>
          </w:rPr>
          <w:t>322 f.</w:t>
        </w:r>
      </w:hyperlink>
      <w:r w:rsidRPr="00716549">
        <w:t>); 90, 60 (</w:t>
      </w:r>
      <w:hyperlink r:id="rId6" w:anchor="088" w:history="1">
        <w:r w:rsidRPr="00716549">
          <w:rPr>
            <w:rStyle w:val="Hyperlink"/>
            <w:color w:val="auto"/>
            <w:u w:val="none"/>
          </w:rPr>
          <w:t>88ff., 93ff.</w:t>
        </w:r>
      </w:hyperlink>
      <w:r w:rsidRPr="00716549">
        <w:t>); 136, 9 (36</w:t>
      </w:r>
      <w:r w:rsidR="008D1C34">
        <w:t>, Rn. 42</w:t>
      </w:r>
      <w:r w:rsidRPr="00716549">
        <w:t>)</w:t>
      </w:r>
      <w:r w:rsidR="00B35CE6">
        <w:t>.</w:t>
      </w:r>
    </w:p>
  </w:footnote>
  <w:footnote w:id="30">
    <w:p w14:paraId="3238BB9B" w14:textId="1EBD16AE" w:rsidR="009C3729" w:rsidRPr="00716549" w:rsidRDefault="009C3729" w:rsidP="009C3729">
      <w:pPr>
        <w:pStyle w:val="Footnotes100Footnotes"/>
        <w:spacing w:line="240" w:lineRule="auto"/>
        <w:contextualSpacing/>
        <w:rPr>
          <w:rFonts w:cs="Arial"/>
          <w:sz w:val="20"/>
          <w:szCs w:val="20"/>
        </w:rPr>
      </w:pPr>
      <w:r w:rsidRPr="00C742EB">
        <w:rPr>
          <w:rStyle w:val="Funotenzeichen"/>
        </w:rPr>
        <w:footnoteRef/>
      </w:r>
      <w:r w:rsidRPr="00C742EB">
        <w:rPr>
          <w:rStyle w:val="Funotenzeichen"/>
        </w:rPr>
        <w:t xml:space="preserve"> </w:t>
      </w:r>
      <w:r w:rsidR="00716549">
        <w:rPr>
          <w:rFonts w:cs="Arial"/>
          <w:sz w:val="20"/>
          <w:szCs w:val="20"/>
        </w:rPr>
        <w:tab/>
      </w:r>
      <w:r w:rsidRPr="00716549">
        <w:rPr>
          <w:rStyle w:val="Italic"/>
          <w:rFonts w:cs="Arial"/>
          <w:i w:val="0"/>
          <w:sz w:val="20"/>
          <w:szCs w:val="20"/>
        </w:rPr>
        <w:t>BVerfGE</w:t>
      </w:r>
      <w:r w:rsidRPr="00716549">
        <w:rPr>
          <w:rFonts w:cs="Arial"/>
          <w:sz w:val="20"/>
          <w:szCs w:val="20"/>
        </w:rPr>
        <w:t xml:space="preserve"> 12, 205 </w:t>
      </w:r>
      <w:r w:rsidR="00A874C5">
        <w:rPr>
          <w:rFonts w:cs="Arial"/>
          <w:sz w:val="20"/>
          <w:szCs w:val="20"/>
        </w:rPr>
        <w:t>(</w:t>
      </w:r>
      <w:r w:rsidRPr="00716549">
        <w:rPr>
          <w:rFonts w:cs="Arial"/>
          <w:sz w:val="20"/>
          <w:szCs w:val="20"/>
        </w:rPr>
        <w:t>263</w:t>
      </w:r>
      <w:r w:rsidR="00A874C5">
        <w:rPr>
          <w:rFonts w:cs="Arial"/>
          <w:sz w:val="20"/>
          <w:szCs w:val="20"/>
        </w:rPr>
        <w:t>)</w:t>
      </w:r>
      <w:r w:rsidRPr="00716549">
        <w:rPr>
          <w:rFonts w:cs="Arial"/>
          <w:sz w:val="20"/>
          <w:szCs w:val="20"/>
        </w:rPr>
        <w:t xml:space="preserve">; 73, 118 </w:t>
      </w:r>
      <w:r w:rsidR="00AD550C">
        <w:rPr>
          <w:rFonts w:cs="Arial"/>
          <w:sz w:val="20"/>
          <w:szCs w:val="20"/>
        </w:rPr>
        <w:t>(</w:t>
      </w:r>
      <w:r w:rsidRPr="00716549">
        <w:rPr>
          <w:rFonts w:cs="Arial"/>
          <w:sz w:val="20"/>
          <w:szCs w:val="20"/>
        </w:rPr>
        <w:t>165</w:t>
      </w:r>
      <w:r w:rsidR="00AD550C">
        <w:rPr>
          <w:rFonts w:cs="Arial"/>
          <w:sz w:val="20"/>
          <w:szCs w:val="20"/>
        </w:rPr>
        <w:t>)</w:t>
      </w:r>
      <w:r w:rsidRPr="00716549">
        <w:rPr>
          <w:rFonts w:cs="Arial"/>
          <w:sz w:val="20"/>
          <w:szCs w:val="20"/>
        </w:rPr>
        <w:t xml:space="preserve">; 83, 238 </w:t>
      </w:r>
      <w:r w:rsidR="00AD550C">
        <w:rPr>
          <w:rFonts w:cs="Arial"/>
          <w:sz w:val="20"/>
          <w:szCs w:val="20"/>
        </w:rPr>
        <w:t>(</w:t>
      </w:r>
      <w:r w:rsidRPr="00716549">
        <w:rPr>
          <w:rFonts w:cs="Arial"/>
          <w:sz w:val="20"/>
          <w:szCs w:val="20"/>
        </w:rPr>
        <w:t>336</w:t>
      </w:r>
      <w:r w:rsidR="00AD550C">
        <w:rPr>
          <w:rFonts w:cs="Arial"/>
          <w:sz w:val="20"/>
          <w:szCs w:val="20"/>
        </w:rPr>
        <w:t>)</w:t>
      </w:r>
      <w:r w:rsidRPr="00716549">
        <w:rPr>
          <w:rFonts w:cs="Arial"/>
          <w:sz w:val="20"/>
          <w:szCs w:val="20"/>
        </w:rPr>
        <w:t xml:space="preserve">; </w:t>
      </w:r>
      <w:r w:rsidRPr="00716549">
        <w:rPr>
          <w:rStyle w:val="Italic"/>
          <w:rFonts w:cs="Arial"/>
          <w:i w:val="0"/>
          <w:sz w:val="20"/>
          <w:szCs w:val="20"/>
        </w:rPr>
        <w:t xml:space="preserve">136, 9 </w:t>
      </w:r>
      <w:r w:rsidR="00AD550C">
        <w:rPr>
          <w:rStyle w:val="Italic"/>
          <w:rFonts w:cs="Arial"/>
          <w:i w:val="0"/>
          <w:sz w:val="20"/>
          <w:szCs w:val="20"/>
        </w:rPr>
        <w:t>(</w:t>
      </w:r>
      <w:r w:rsidRPr="00716549">
        <w:rPr>
          <w:rStyle w:val="Italic"/>
          <w:rFonts w:cs="Arial"/>
          <w:i w:val="0"/>
          <w:sz w:val="20"/>
          <w:szCs w:val="20"/>
        </w:rPr>
        <w:t>33 ff.</w:t>
      </w:r>
      <w:r w:rsidR="008D1C34">
        <w:rPr>
          <w:rStyle w:val="Italic"/>
          <w:rFonts w:cs="Arial"/>
          <w:i w:val="0"/>
          <w:sz w:val="20"/>
          <w:szCs w:val="20"/>
        </w:rPr>
        <w:t>, Rn. 38 ff.</w:t>
      </w:r>
      <w:r w:rsidR="00AD550C">
        <w:rPr>
          <w:rStyle w:val="Italic"/>
          <w:rFonts w:cs="Arial"/>
          <w:i w:val="0"/>
          <w:sz w:val="20"/>
          <w:szCs w:val="20"/>
        </w:rPr>
        <w:t>)</w:t>
      </w:r>
      <w:r w:rsidR="00B35CE6">
        <w:rPr>
          <w:rStyle w:val="Italic"/>
          <w:rFonts w:cs="Arial"/>
          <w:i w:val="0"/>
          <w:sz w:val="20"/>
          <w:szCs w:val="20"/>
        </w:rPr>
        <w:t>.</w:t>
      </w:r>
      <w:r w:rsidRPr="00716549">
        <w:rPr>
          <w:rFonts w:cs="Arial"/>
          <w:sz w:val="20"/>
          <w:szCs w:val="20"/>
        </w:rPr>
        <w:t xml:space="preserve"> </w:t>
      </w:r>
    </w:p>
  </w:footnote>
  <w:footnote w:id="31">
    <w:p w14:paraId="4581FB5B" w14:textId="36D4B1BE" w:rsidR="009C3729" w:rsidRPr="00716549" w:rsidRDefault="009C3729" w:rsidP="009C3729">
      <w:pPr>
        <w:pStyle w:val="Footnotes100Footnotes"/>
        <w:spacing w:line="240" w:lineRule="auto"/>
        <w:contextualSpacing/>
        <w:rPr>
          <w:rFonts w:cs="Arial"/>
          <w:sz w:val="20"/>
          <w:szCs w:val="20"/>
        </w:rPr>
      </w:pPr>
      <w:r w:rsidRPr="00C742EB">
        <w:rPr>
          <w:rStyle w:val="Funotenzeichen"/>
        </w:rPr>
        <w:footnoteRef/>
      </w:r>
      <w:r w:rsidRPr="00C742EB">
        <w:rPr>
          <w:rStyle w:val="Funotenzeichen"/>
        </w:rPr>
        <w:t xml:space="preserve"> </w:t>
      </w:r>
      <w:r w:rsidR="00716549">
        <w:rPr>
          <w:rFonts w:cs="Arial"/>
          <w:sz w:val="20"/>
          <w:szCs w:val="20"/>
        </w:rPr>
        <w:tab/>
      </w:r>
      <w:r w:rsidRPr="00716549">
        <w:rPr>
          <w:rStyle w:val="Italic"/>
          <w:rFonts w:cs="Arial"/>
          <w:i w:val="0"/>
          <w:sz w:val="20"/>
          <w:szCs w:val="20"/>
        </w:rPr>
        <w:t>BVerfGE</w:t>
      </w:r>
      <w:r w:rsidRPr="00716549">
        <w:rPr>
          <w:rFonts w:cs="Arial"/>
          <w:sz w:val="20"/>
          <w:szCs w:val="20"/>
        </w:rPr>
        <w:t xml:space="preserve"> 73, 118 </w:t>
      </w:r>
      <w:r w:rsidR="00716549">
        <w:rPr>
          <w:rFonts w:cs="Arial"/>
          <w:sz w:val="20"/>
          <w:szCs w:val="20"/>
        </w:rPr>
        <w:t>(</w:t>
      </w:r>
      <w:r w:rsidRPr="00716549">
        <w:rPr>
          <w:rFonts w:cs="Arial"/>
          <w:sz w:val="20"/>
          <w:szCs w:val="20"/>
        </w:rPr>
        <w:t>165</w:t>
      </w:r>
      <w:r w:rsidR="00716549">
        <w:rPr>
          <w:rFonts w:cs="Arial"/>
          <w:sz w:val="20"/>
          <w:szCs w:val="20"/>
        </w:rPr>
        <w:t>)</w:t>
      </w:r>
      <w:r w:rsidRPr="00716549">
        <w:rPr>
          <w:rFonts w:cs="Arial"/>
          <w:sz w:val="20"/>
          <w:szCs w:val="20"/>
        </w:rPr>
        <w:t>.</w:t>
      </w:r>
    </w:p>
  </w:footnote>
  <w:footnote w:id="32">
    <w:p w14:paraId="2694A7EE" w14:textId="28409D7C" w:rsidR="009C3729" w:rsidRPr="00716549" w:rsidRDefault="009C3729" w:rsidP="009C3729">
      <w:pPr>
        <w:pStyle w:val="Funotentext"/>
      </w:pPr>
      <w:r w:rsidRPr="00C742EB">
        <w:rPr>
          <w:rStyle w:val="Funotenzeichen"/>
        </w:rPr>
        <w:footnoteRef/>
      </w:r>
      <w:r w:rsidRPr="00716549">
        <w:t xml:space="preserve"> </w:t>
      </w:r>
      <w:r w:rsidR="00716549">
        <w:tab/>
      </w:r>
      <w:r w:rsidRPr="00716549">
        <w:t xml:space="preserve">BVerfGE 136, 9; die Schriftsätze und das Urteil in diesem Verfahren sind dokumentiert in: </w:t>
      </w:r>
      <w:r w:rsidRPr="00716549">
        <w:rPr>
          <w:i/>
        </w:rPr>
        <w:t>von Coelln/Hain</w:t>
      </w:r>
      <w:r w:rsidR="00716549">
        <w:rPr>
          <w:iCs/>
        </w:rPr>
        <w:t xml:space="preserve"> (Hrsg.)</w:t>
      </w:r>
      <w:r w:rsidRPr="00716549">
        <w:t>, Der ZDF-Staatsvertrag vor dem Bundesverfassungsgericht</w:t>
      </w:r>
      <w:r w:rsidR="00716549">
        <w:t>, 2015</w:t>
      </w:r>
      <w:r w:rsidR="00A874C5">
        <w:t>, 15 ff</w:t>
      </w:r>
      <w:r w:rsidR="00716549">
        <w:t>.</w:t>
      </w:r>
      <w:r w:rsidRPr="00716549">
        <w:t xml:space="preserve"> </w:t>
      </w:r>
    </w:p>
  </w:footnote>
  <w:footnote w:id="33">
    <w:p w14:paraId="2F3FE2B2" w14:textId="720F6266" w:rsidR="009C3729" w:rsidRPr="00716549" w:rsidRDefault="009C3729" w:rsidP="009C3729">
      <w:pPr>
        <w:pStyle w:val="Footnotes100Footnotes"/>
        <w:spacing w:line="240" w:lineRule="auto"/>
        <w:contextualSpacing/>
        <w:rPr>
          <w:rFonts w:cs="Arial"/>
          <w:sz w:val="20"/>
          <w:szCs w:val="20"/>
        </w:rPr>
      </w:pPr>
      <w:r w:rsidRPr="008D1C34">
        <w:rPr>
          <w:rStyle w:val="Funotenzeichen"/>
        </w:rPr>
        <w:footnoteRef/>
      </w:r>
      <w:r w:rsidRPr="00716549">
        <w:rPr>
          <w:rFonts w:cs="Arial"/>
          <w:sz w:val="20"/>
          <w:szCs w:val="20"/>
        </w:rPr>
        <w:t xml:space="preserve"> </w:t>
      </w:r>
      <w:r w:rsidR="00716549" w:rsidRPr="00716549">
        <w:rPr>
          <w:rFonts w:cs="Arial"/>
          <w:sz w:val="20"/>
          <w:szCs w:val="20"/>
        </w:rPr>
        <w:tab/>
      </w:r>
      <w:r w:rsidRPr="00716549">
        <w:rPr>
          <w:rFonts w:cs="Arial"/>
          <w:sz w:val="20"/>
          <w:szCs w:val="20"/>
        </w:rPr>
        <w:t xml:space="preserve">Vgl. dazu auch </w:t>
      </w:r>
      <w:r w:rsidRPr="00716549">
        <w:rPr>
          <w:rStyle w:val="Italic"/>
          <w:rFonts w:cs="Arial"/>
          <w:i w:val="0"/>
          <w:sz w:val="20"/>
          <w:szCs w:val="20"/>
        </w:rPr>
        <w:t>BVerfGE</w:t>
      </w:r>
      <w:r w:rsidRPr="00716549">
        <w:rPr>
          <w:rFonts w:cs="Arial"/>
          <w:sz w:val="20"/>
          <w:szCs w:val="20"/>
        </w:rPr>
        <w:t xml:space="preserve"> 90, 60, </w:t>
      </w:r>
      <w:r w:rsidR="00716549">
        <w:rPr>
          <w:rFonts w:cs="Arial"/>
          <w:sz w:val="20"/>
          <w:szCs w:val="20"/>
        </w:rPr>
        <w:t>(</w:t>
      </w:r>
      <w:r w:rsidRPr="00716549">
        <w:rPr>
          <w:rFonts w:cs="Arial"/>
          <w:sz w:val="20"/>
          <w:szCs w:val="20"/>
        </w:rPr>
        <w:t>94 f.</w:t>
      </w:r>
      <w:r w:rsidR="00716549">
        <w:rPr>
          <w:rFonts w:cs="Arial"/>
          <w:sz w:val="20"/>
          <w:szCs w:val="20"/>
        </w:rPr>
        <w:t>)</w:t>
      </w:r>
      <w:r w:rsidRPr="00716549">
        <w:rPr>
          <w:rFonts w:cs="Arial"/>
          <w:sz w:val="20"/>
          <w:szCs w:val="20"/>
        </w:rPr>
        <w:t xml:space="preserve">; 119, 181 </w:t>
      </w:r>
      <w:r w:rsidR="00716549">
        <w:rPr>
          <w:rFonts w:cs="Arial"/>
          <w:sz w:val="20"/>
          <w:szCs w:val="20"/>
        </w:rPr>
        <w:t>(</w:t>
      </w:r>
      <w:r w:rsidRPr="00716549">
        <w:rPr>
          <w:rFonts w:cs="Arial"/>
          <w:sz w:val="20"/>
          <w:szCs w:val="20"/>
        </w:rPr>
        <w:t>222</w:t>
      </w:r>
      <w:r w:rsidR="00716549">
        <w:rPr>
          <w:rFonts w:cs="Arial"/>
          <w:sz w:val="20"/>
          <w:szCs w:val="20"/>
        </w:rPr>
        <w:t>)</w:t>
      </w:r>
      <w:r w:rsidRPr="00716549">
        <w:rPr>
          <w:rFonts w:cs="Arial"/>
          <w:sz w:val="20"/>
          <w:szCs w:val="20"/>
        </w:rPr>
        <w:t>.</w:t>
      </w:r>
    </w:p>
  </w:footnote>
  <w:footnote w:id="34">
    <w:p w14:paraId="40E892DE" w14:textId="5A8440F6" w:rsidR="009C3729" w:rsidRPr="00716549" w:rsidRDefault="009C3729" w:rsidP="009C3729">
      <w:pPr>
        <w:pStyle w:val="Funotentext"/>
      </w:pPr>
      <w:r w:rsidRPr="00762783">
        <w:rPr>
          <w:sz w:val="24"/>
          <w:szCs w:val="24"/>
          <w:vertAlign w:val="superscript"/>
        </w:rPr>
        <w:footnoteRef/>
      </w:r>
      <w:r w:rsidRPr="00762783">
        <w:rPr>
          <w:sz w:val="24"/>
          <w:szCs w:val="24"/>
        </w:rPr>
        <w:t xml:space="preserve"> </w:t>
      </w:r>
      <w:r w:rsidR="00716549" w:rsidRPr="00716549">
        <w:tab/>
      </w:r>
      <w:r w:rsidRPr="00716549">
        <w:rPr>
          <w:rStyle w:val="Italic"/>
        </w:rPr>
        <w:t>Huber</w:t>
      </w:r>
      <w:r w:rsidRPr="00716549">
        <w:t xml:space="preserve">, in: FS Bethge, </w:t>
      </w:r>
      <w:r w:rsidR="008D1C34">
        <w:t xml:space="preserve">2009, </w:t>
      </w:r>
      <w:r w:rsidRPr="00716549">
        <w:t xml:space="preserve">S. 496 </w:t>
      </w:r>
      <w:r w:rsidR="008D1C34">
        <w:t>(</w:t>
      </w:r>
      <w:r w:rsidRPr="00716549">
        <w:t>507 f.</w:t>
      </w:r>
      <w:r w:rsidR="008D1C34">
        <w:t>)</w:t>
      </w:r>
      <w:r w:rsidR="00B35CE6">
        <w:t>.</w:t>
      </w:r>
    </w:p>
  </w:footnote>
  <w:footnote w:id="35">
    <w:p w14:paraId="2D2FCF51" w14:textId="4A86BB46" w:rsidR="009515A9" w:rsidRPr="00716549" w:rsidRDefault="009515A9" w:rsidP="009515A9">
      <w:pPr>
        <w:pStyle w:val="Funotentext"/>
      </w:pPr>
      <w:r w:rsidRPr="00762783">
        <w:rPr>
          <w:sz w:val="24"/>
          <w:szCs w:val="24"/>
          <w:vertAlign w:val="superscript"/>
        </w:rPr>
        <w:footnoteRef/>
      </w:r>
      <w:r w:rsidRPr="00762783">
        <w:rPr>
          <w:sz w:val="24"/>
          <w:szCs w:val="24"/>
        </w:rPr>
        <w:t xml:space="preserve"> </w:t>
      </w:r>
      <w:r w:rsidR="00716549" w:rsidRPr="00716549">
        <w:tab/>
      </w:r>
      <w:r w:rsidRPr="00716549">
        <w:rPr>
          <w:rStyle w:val="Italic"/>
          <w:i w:val="0"/>
        </w:rPr>
        <w:t>BVerfGE</w:t>
      </w:r>
      <w:r w:rsidRPr="00716549">
        <w:t xml:space="preserve"> 90, 60 </w:t>
      </w:r>
      <w:r w:rsidR="00716549">
        <w:t>(</w:t>
      </w:r>
      <w:r w:rsidRPr="00716549">
        <w:t>89</w:t>
      </w:r>
      <w:r w:rsidR="00716549">
        <w:t>)</w:t>
      </w:r>
      <w:r w:rsidRPr="00716549">
        <w:t>.</w:t>
      </w:r>
    </w:p>
  </w:footnote>
  <w:footnote w:id="36">
    <w:p w14:paraId="7B94A027" w14:textId="4BB957F1" w:rsidR="00716549" w:rsidRPr="00716549" w:rsidRDefault="00716549" w:rsidP="00716549">
      <w:pPr>
        <w:pStyle w:val="Funotentext"/>
      </w:pPr>
      <w:r w:rsidRPr="00762783">
        <w:rPr>
          <w:sz w:val="24"/>
          <w:szCs w:val="24"/>
          <w:vertAlign w:val="superscript"/>
        </w:rPr>
        <w:footnoteRef/>
      </w:r>
      <w:r w:rsidRPr="00762783">
        <w:rPr>
          <w:sz w:val="24"/>
          <w:szCs w:val="24"/>
        </w:rPr>
        <w:t xml:space="preserve"> </w:t>
      </w:r>
      <w:r w:rsidRPr="00716549">
        <w:tab/>
        <w:t xml:space="preserve">BVerfGE 136, 9; die Schriftsätze und das Urteil in diesem Verfahren sind dokumentiert in: </w:t>
      </w:r>
      <w:r w:rsidRPr="00716549">
        <w:rPr>
          <w:i/>
        </w:rPr>
        <w:t>von Coelln/Hain</w:t>
      </w:r>
      <w:r w:rsidR="008D1C34">
        <w:rPr>
          <w:iCs/>
        </w:rPr>
        <w:t xml:space="preserve"> (Hrsg.)</w:t>
      </w:r>
      <w:r w:rsidRPr="00716549">
        <w:t>, Der ZDF-Staatsvertrag vor dem Bundesverfassungsgericht</w:t>
      </w:r>
      <w:r w:rsidR="00A8606D">
        <w:t>, 2015, S. 15 ff.</w:t>
      </w:r>
      <w:r w:rsidRPr="00716549">
        <w:t xml:space="preserve"> </w:t>
      </w:r>
    </w:p>
  </w:footnote>
  <w:footnote w:id="37">
    <w:p w14:paraId="7C8D008D" w14:textId="48A4D90B" w:rsidR="008D1C34" w:rsidRDefault="008D1C34">
      <w:pPr>
        <w:pStyle w:val="Funotentext"/>
      </w:pPr>
      <w:r>
        <w:rPr>
          <w:rStyle w:val="Funotenzeichen"/>
        </w:rPr>
        <w:footnoteRef/>
      </w:r>
      <w:r>
        <w:t xml:space="preserve"> </w:t>
      </w:r>
      <w:r>
        <w:tab/>
      </w:r>
      <w:r w:rsidRPr="00716549">
        <w:t xml:space="preserve">Vgl. </w:t>
      </w:r>
      <w:r w:rsidRPr="00716549">
        <w:rPr>
          <w:rStyle w:val="Italic"/>
        </w:rPr>
        <w:t>Dörr</w:t>
      </w:r>
      <w:r w:rsidRPr="00716549">
        <w:t>, K &amp; R 2009, 555 ff.</w:t>
      </w:r>
    </w:p>
  </w:footnote>
  <w:footnote w:id="38">
    <w:p w14:paraId="487182CD" w14:textId="2A35517F" w:rsidR="00726585" w:rsidRDefault="00726585">
      <w:pPr>
        <w:pStyle w:val="Funotentext"/>
      </w:pPr>
      <w:r>
        <w:rPr>
          <w:rStyle w:val="Funotenzeichen"/>
        </w:rPr>
        <w:footnoteRef/>
      </w:r>
      <w:r>
        <w:t xml:space="preserve"> </w:t>
      </w:r>
      <w:r w:rsidR="00762783">
        <w:tab/>
      </w:r>
      <w:r>
        <w:t>BVerfGE 136, 9 (38 f., Rn. 50)</w:t>
      </w:r>
      <w:r w:rsidR="00B35CE6">
        <w:t>.</w:t>
      </w:r>
    </w:p>
  </w:footnote>
  <w:footnote w:id="39">
    <w:p w14:paraId="686DAFCF" w14:textId="5BAB9956" w:rsidR="00E57444" w:rsidRDefault="00E57444">
      <w:pPr>
        <w:pStyle w:val="Funotentext"/>
      </w:pPr>
      <w:r>
        <w:rPr>
          <w:rStyle w:val="Funotenzeichen"/>
        </w:rPr>
        <w:footnoteRef/>
      </w:r>
      <w:r>
        <w:t xml:space="preserve"> </w:t>
      </w:r>
      <w:r w:rsidR="004239B4">
        <w:tab/>
      </w:r>
      <w:r>
        <w:t>BVerfGE 136, 9 (37, Rn. 46)</w:t>
      </w:r>
      <w:r w:rsidR="004239B4">
        <w:t>.</w:t>
      </w:r>
    </w:p>
  </w:footnote>
  <w:footnote w:id="40">
    <w:p w14:paraId="0D3B37D0" w14:textId="2B8803A0" w:rsidR="007E3F14" w:rsidRDefault="007E3F14">
      <w:pPr>
        <w:pStyle w:val="Funotentext"/>
      </w:pPr>
      <w:r>
        <w:rPr>
          <w:rStyle w:val="Funotenzeichen"/>
        </w:rPr>
        <w:footnoteRef/>
      </w:r>
      <w:r>
        <w:t xml:space="preserve"> </w:t>
      </w:r>
      <w:r w:rsidR="004239B4">
        <w:tab/>
      </w:r>
      <w:r>
        <w:t>BVerfGE 136, 9 (</w:t>
      </w:r>
      <w:r w:rsidR="00A8606D">
        <w:t>39, Rn. 52)</w:t>
      </w:r>
      <w:r w:rsidR="004239B4">
        <w:t>.</w:t>
      </w:r>
    </w:p>
  </w:footnote>
  <w:footnote w:id="41">
    <w:p w14:paraId="57924F33" w14:textId="0A2AEB0D" w:rsidR="007E3F14" w:rsidRDefault="007E3F14">
      <w:pPr>
        <w:pStyle w:val="Funotentext"/>
      </w:pPr>
      <w:r>
        <w:rPr>
          <w:rStyle w:val="Funotenzeichen"/>
        </w:rPr>
        <w:footnoteRef/>
      </w:r>
      <w:r>
        <w:t xml:space="preserve"> </w:t>
      </w:r>
      <w:r w:rsidR="004239B4">
        <w:tab/>
      </w:r>
      <w:r>
        <w:t>BVerfGE 136, 9 (</w:t>
      </w:r>
      <w:r w:rsidR="00A8606D">
        <w:t>40, Rn. 54)</w:t>
      </w:r>
      <w:r w:rsidR="004239B4">
        <w:t>.</w:t>
      </w:r>
    </w:p>
  </w:footnote>
  <w:footnote w:id="42">
    <w:p w14:paraId="64FC58D8" w14:textId="31A10ADF" w:rsidR="00A8606D" w:rsidRDefault="00A8606D">
      <w:pPr>
        <w:pStyle w:val="Funotentext"/>
      </w:pPr>
      <w:r>
        <w:rPr>
          <w:rStyle w:val="Funotenzeichen"/>
        </w:rPr>
        <w:footnoteRef/>
      </w:r>
      <w:r>
        <w:t xml:space="preserve"> </w:t>
      </w:r>
      <w:r w:rsidR="004239B4">
        <w:tab/>
      </w:r>
      <w:r>
        <w:t>BVerfGE 136, 9 (41, Rn. 56)</w:t>
      </w:r>
      <w:r w:rsidR="004239B4">
        <w:t>.</w:t>
      </w:r>
    </w:p>
  </w:footnote>
  <w:footnote w:id="43">
    <w:p w14:paraId="033AD0E9" w14:textId="64371EAF" w:rsidR="00A8606D" w:rsidRDefault="00A8606D">
      <w:pPr>
        <w:pStyle w:val="Funotentext"/>
      </w:pPr>
      <w:r>
        <w:rPr>
          <w:rStyle w:val="Funotenzeichen"/>
        </w:rPr>
        <w:footnoteRef/>
      </w:r>
      <w:r>
        <w:t xml:space="preserve"> </w:t>
      </w:r>
      <w:r w:rsidR="004239B4">
        <w:tab/>
      </w:r>
      <w:r>
        <w:t>BVerfGE 136, 9 (41, Rn. 55)</w:t>
      </w:r>
      <w:r w:rsidR="004239B4">
        <w:t>.</w:t>
      </w:r>
    </w:p>
  </w:footnote>
  <w:footnote w:id="44">
    <w:p w14:paraId="333F829B" w14:textId="06C239FC" w:rsidR="00A8606D" w:rsidRDefault="00A8606D">
      <w:pPr>
        <w:pStyle w:val="Funotentext"/>
      </w:pPr>
      <w:r>
        <w:rPr>
          <w:rStyle w:val="Funotenzeichen"/>
        </w:rPr>
        <w:footnoteRef/>
      </w:r>
      <w:r>
        <w:t xml:space="preserve"> </w:t>
      </w:r>
      <w:r w:rsidR="004239B4">
        <w:tab/>
      </w:r>
      <w:r>
        <w:t>BVerfGE 136, 9 (41 f., Rn. 57)</w:t>
      </w:r>
      <w:r w:rsidR="004239B4">
        <w:t>.</w:t>
      </w:r>
    </w:p>
  </w:footnote>
  <w:footnote w:id="45">
    <w:p w14:paraId="24B2C67F" w14:textId="59EA260A" w:rsidR="00A8606D" w:rsidRDefault="00A8606D">
      <w:pPr>
        <w:pStyle w:val="Funotentext"/>
      </w:pPr>
      <w:r>
        <w:rPr>
          <w:rStyle w:val="Funotenzeichen"/>
        </w:rPr>
        <w:footnoteRef/>
      </w:r>
      <w:r>
        <w:t xml:space="preserve"> </w:t>
      </w:r>
      <w:r w:rsidR="004239B4">
        <w:tab/>
      </w:r>
      <w:r>
        <w:t>BVerfGE 136, 9 (</w:t>
      </w:r>
      <w:r w:rsidR="00AD7DEB">
        <w:t>43 f., Rn. 61 f.)</w:t>
      </w:r>
      <w:r w:rsidR="004239B4">
        <w:t>.</w:t>
      </w:r>
    </w:p>
  </w:footnote>
  <w:footnote w:id="46">
    <w:p w14:paraId="7BE293DF" w14:textId="1CB80024" w:rsidR="00AD7DEB" w:rsidRDefault="00AD7DEB">
      <w:pPr>
        <w:pStyle w:val="Funotentext"/>
      </w:pPr>
      <w:r>
        <w:rPr>
          <w:rStyle w:val="Funotenzeichen"/>
        </w:rPr>
        <w:footnoteRef/>
      </w:r>
      <w:r>
        <w:t xml:space="preserve"> </w:t>
      </w:r>
      <w:r w:rsidR="004239B4">
        <w:tab/>
      </w:r>
      <w:r>
        <w:t>BVerfGE 136, 9 (46 f., Rn. 70 f.)</w:t>
      </w:r>
      <w:r w:rsidR="004239B4">
        <w:t>.</w:t>
      </w:r>
    </w:p>
  </w:footnote>
  <w:footnote w:id="47">
    <w:p w14:paraId="591C4CAD" w14:textId="58004085" w:rsidR="00AD7DEB" w:rsidRDefault="00AD7DEB">
      <w:pPr>
        <w:pStyle w:val="Funotentext"/>
      </w:pPr>
      <w:r>
        <w:rPr>
          <w:rStyle w:val="Funotenzeichen"/>
        </w:rPr>
        <w:footnoteRef/>
      </w:r>
      <w:r>
        <w:t xml:space="preserve"> </w:t>
      </w:r>
      <w:r w:rsidR="004239B4">
        <w:tab/>
      </w:r>
      <w:r w:rsidR="00762783">
        <w:t>BVerfGE 136, 9 (49 f., Rn. 75 f.)</w:t>
      </w:r>
      <w:r w:rsidR="004239B4">
        <w:t>.</w:t>
      </w:r>
    </w:p>
  </w:footnote>
  <w:footnote w:id="48">
    <w:p w14:paraId="062ACC59" w14:textId="63D75C63" w:rsidR="00762783" w:rsidRDefault="00762783">
      <w:pPr>
        <w:pStyle w:val="Funotentext"/>
      </w:pPr>
      <w:r>
        <w:rPr>
          <w:rStyle w:val="Funotenzeichen"/>
        </w:rPr>
        <w:footnoteRef/>
      </w:r>
      <w:r>
        <w:t xml:space="preserve"> </w:t>
      </w:r>
      <w:r>
        <w:tab/>
        <w:t>BVerfGE 136, 9 (49 f., Rn. 77 f.)</w:t>
      </w:r>
      <w:r w:rsidR="004239B4">
        <w:t>.</w:t>
      </w:r>
    </w:p>
  </w:footnote>
  <w:footnote w:id="49">
    <w:p w14:paraId="0457586A" w14:textId="77777777" w:rsidR="007E3F14" w:rsidRPr="004239B4" w:rsidRDefault="007E3F14" w:rsidP="007E3F14">
      <w:pPr>
        <w:pStyle w:val="Funotentext"/>
      </w:pPr>
      <w:r w:rsidRPr="00762783">
        <w:rPr>
          <w:sz w:val="24"/>
          <w:szCs w:val="24"/>
          <w:vertAlign w:val="superscript"/>
        </w:rPr>
        <w:footnoteRef/>
      </w:r>
      <w:r w:rsidRPr="00762783">
        <w:rPr>
          <w:sz w:val="24"/>
          <w:szCs w:val="24"/>
        </w:rPr>
        <w:t xml:space="preserve"> </w:t>
      </w:r>
      <w:r>
        <w:tab/>
      </w:r>
      <w:r w:rsidRPr="004239B4">
        <w:t xml:space="preserve">Vgl. zur Bewertung der Entscheidung </w:t>
      </w:r>
      <w:r w:rsidRPr="004239B4">
        <w:rPr>
          <w:rStyle w:val="Italic"/>
          <w:rFonts w:ascii="Times New Roman" w:hAnsi="Times New Roman"/>
          <w:color w:val="auto"/>
        </w:rPr>
        <w:t>Cornils</w:t>
      </w:r>
      <w:r w:rsidRPr="004239B4">
        <w:t xml:space="preserve">, K&amp;R 2014, 386; </w:t>
      </w:r>
      <w:r w:rsidRPr="004239B4">
        <w:rPr>
          <w:rStyle w:val="Italic"/>
          <w:rFonts w:ascii="Times New Roman" w:hAnsi="Times New Roman"/>
          <w:color w:val="auto"/>
        </w:rPr>
        <w:t>Degenhart</w:t>
      </w:r>
      <w:r w:rsidRPr="004239B4">
        <w:t xml:space="preserve">, K&amp;R 2014, 340; </w:t>
      </w:r>
      <w:r w:rsidRPr="004239B4">
        <w:rPr>
          <w:rStyle w:val="Italic"/>
          <w:rFonts w:ascii="Times New Roman" w:hAnsi="Times New Roman"/>
          <w:color w:val="auto"/>
        </w:rPr>
        <w:t>Dörr</w:t>
      </w:r>
      <w:r w:rsidRPr="004239B4">
        <w:t xml:space="preserve">, Funkkorrespondenz 21/2014, 6; </w:t>
      </w:r>
      <w:r w:rsidRPr="004239B4">
        <w:rPr>
          <w:rStyle w:val="Italic"/>
          <w:rFonts w:ascii="Times New Roman" w:hAnsi="Times New Roman"/>
          <w:color w:val="auto"/>
        </w:rPr>
        <w:t>Hesse</w:t>
      </w:r>
      <w:r w:rsidRPr="004239B4">
        <w:t xml:space="preserve">, NVwZ 2014, 881 f. </w:t>
      </w:r>
    </w:p>
  </w:footnote>
  <w:footnote w:id="50">
    <w:p w14:paraId="734968BB" w14:textId="64B08B28" w:rsidR="00613C59" w:rsidRDefault="00613C59" w:rsidP="00062B86">
      <w:pPr>
        <w:pStyle w:val="Funotentext"/>
      </w:pPr>
      <w:r>
        <w:rPr>
          <w:rStyle w:val="Funotenzeichen"/>
        </w:rPr>
        <w:footnoteRef/>
      </w:r>
      <w:r>
        <w:t xml:space="preserve"> </w:t>
      </w:r>
      <w:r>
        <w:tab/>
      </w:r>
      <w:r w:rsidRPr="00613C59">
        <w:t>BVerfGE 90, 60 (88 ff)</w:t>
      </w:r>
      <w:r w:rsidR="004239B4">
        <w:t>.</w:t>
      </w:r>
    </w:p>
  </w:footnote>
  <w:footnote w:id="51">
    <w:p w14:paraId="3BC6BD07" w14:textId="017C06C8" w:rsidR="00062B86" w:rsidRDefault="00062B86">
      <w:pPr>
        <w:pStyle w:val="Funotentext"/>
      </w:pPr>
      <w:r>
        <w:rPr>
          <w:rStyle w:val="Funotenzeichen"/>
        </w:rPr>
        <w:footnoteRef/>
      </w:r>
      <w:r>
        <w:t xml:space="preserve"> </w:t>
      </w:r>
      <w:r w:rsidR="000A1901">
        <w:tab/>
      </w:r>
      <w:r w:rsidRPr="00062B86">
        <w:rPr>
          <w:szCs w:val="24"/>
        </w:rPr>
        <w:t>Vgl. etwa BVerfGE 53, 30 (65 f., Rn. 65 ff.</w:t>
      </w:r>
    </w:p>
  </w:footnote>
  <w:footnote w:id="52">
    <w:p w14:paraId="7ED669D7" w14:textId="60532354" w:rsidR="00062B86" w:rsidRDefault="00062B86">
      <w:pPr>
        <w:pStyle w:val="Funotentext"/>
      </w:pPr>
      <w:r>
        <w:rPr>
          <w:rStyle w:val="Funotenzeichen"/>
        </w:rPr>
        <w:footnoteRef/>
      </w:r>
      <w:r>
        <w:t xml:space="preserve"> </w:t>
      </w:r>
      <w:r>
        <w:tab/>
        <w:t>BVerfGE 90, 60 (96 ff., Rn. 167 ff); 119, 181 (224 f., Rn. 142 ff.).</w:t>
      </w:r>
    </w:p>
  </w:footnote>
  <w:footnote w:id="53">
    <w:p w14:paraId="260030B1" w14:textId="28C153E3" w:rsidR="007F4F98" w:rsidRDefault="007F4F98">
      <w:pPr>
        <w:pStyle w:val="Funotentext"/>
      </w:pPr>
      <w:r>
        <w:rPr>
          <w:rStyle w:val="Funotenzeichen"/>
        </w:rPr>
        <w:footnoteRef/>
      </w:r>
      <w:r>
        <w:t xml:space="preserve"> </w:t>
      </w:r>
      <w:r>
        <w:tab/>
      </w:r>
      <w:r>
        <w:t xml:space="preserve">BVerfGE 90, 60 </w:t>
      </w:r>
      <w:r>
        <w:t>(</w:t>
      </w:r>
      <w:r>
        <w:t>10</w:t>
      </w:r>
      <w:r>
        <w:t>3, Rn. 187)</w:t>
      </w:r>
      <w:r>
        <w:t>.</w:t>
      </w:r>
    </w:p>
  </w:footnote>
  <w:footnote w:id="54">
    <w:p w14:paraId="087D5395" w14:textId="3BD839A5" w:rsidR="00F6142C" w:rsidRDefault="00F6142C">
      <w:pPr>
        <w:pStyle w:val="Funotentext"/>
      </w:pPr>
      <w:r>
        <w:rPr>
          <w:rStyle w:val="Funotenzeichen"/>
        </w:rPr>
        <w:footnoteRef/>
      </w:r>
      <w:r>
        <w:t xml:space="preserve"> </w:t>
      </w:r>
      <w:r>
        <w:tab/>
        <w:t xml:space="preserve">BVerfGE 119, 181 (225, Rn. 145) </w:t>
      </w:r>
    </w:p>
  </w:footnote>
  <w:footnote w:id="55">
    <w:p w14:paraId="5C9BAE6E" w14:textId="77777777" w:rsidR="00F6142C" w:rsidRDefault="00F6142C" w:rsidP="00F6142C">
      <w:pPr>
        <w:pStyle w:val="Funotentext"/>
      </w:pPr>
      <w:r>
        <w:rPr>
          <w:rStyle w:val="Funotenzeichen"/>
        </w:rPr>
        <w:footnoteRef/>
      </w:r>
      <w:r>
        <w:t xml:space="preserve"> BVerfGE 136, 9, 28 ff. </w:t>
      </w:r>
    </w:p>
  </w:footnote>
  <w:footnote w:id="56">
    <w:p w14:paraId="5B7F928B" w14:textId="3511C760" w:rsidR="00F6142C" w:rsidRDefault="00F6142C" w:rsidP="00F6142C">
      <w:pPr>
        <w:pStyle w:val="Funotentext"/>
      </w:pPr>
      <w:r>
        <w:rPr>
          <w:rStyle w:val="Funotenzeichen"/>
        </w:rPr>
        <w:footnoteRef/>
      </w:r>
      <w:r>
        <w:t xml:space="preserve"> </w:t>
      </w:r>
      <w:r w:rsidR="00DB0907">
        <w:tab/>
      </w:r>
      <w:r>
        <w:t xml:space="preserve">BVerfGE 136, 9 </w:t>
      </w:r>
      <w:r w:rsidR="00DB0907">
        <w:t>(</w:t>
      </w:r>
      <w:r>
        <w:t>40</w:t>
      </w:r>
      <w:r w:rsidR="00DB0907">
        <w:t>, Rn. 54)</w:t>
      </w:r>
      <w:r>
        <w:t>.</w:t>
      </w:r>
    </w:p>
  </w:footnote>
  <w:footnote w:id="57">
    <w:p w14:paraId="4825BD81" w14:textId="1AED121E" w:rsidR="00F6142C" w:rsidRDefault="00F6142C" w:rsidP="00F6142C">
      <w:pPr>
        <w:pStyle w:val="Funotentext"/>
      </w:pPr>
      <w:r>
        <w:rPr>
          <w:rStyle w:val="Funotenzeichen"/>
        </w:rPr>
        <w:footnoteRef/>
      </w:r>
      <w:r>
        <w:t xml:space="preserve"> </w:t>
      </w:r>
      <w:r w:rsidR="00DB0907">
        <w:tab/>
      </w:r>
      <w:r>
        <w:t xml:space="preserve">Eingehend zu diesem Vorgang </w:t>
      </w:r>
      <w:r w:rsidRPr="00F6142C">
        <w:rPr>
          <w:i/>
          <w:iCs/>
        </w:rPr>
        <w:t>Hain</w:t>
      </w:r>
      <w:r>
        <w:t>,</w:t>
      </w:r>
      <w:r>
        <w:rPr>
          <w:i/>
          <w:iCs/>
        </w:rPr>
        <w:t xml:space="preserve"> </w:t>
      </w:r>
      <w:proofErr w:type="spellStart"/>
      <w:r>
        <w:t>Oops</w:t>
      </w:r>
      <w:proofErr w:type="spellEnd"/>
      <w:r>
        <w:t xml:space="preserve">, </w:t>
      </w:r>
      <w:proofErr w:type="spellStart"/>
      <w:r>
        <w:t>they</w:t>
      </w:r>
      <w:proofErr w:type="spellEnd"/>
      <w:r>
        <w:t xml:space="preserve"> </w:t>
      </w:r>
      <w:proofErr w:type="spellStart"/>
      <w:r>
        <w:t>did</w:t>
      </w:r>
      <w:proofErr w:type="spellEnd"/>
      <w:r>
        <w:t xml:space="preserve"> </w:t>
      </w:r>
      <w:proofErr w:type="spellStart"/>
      <w:r>
        <w:t>it</w:t>
      </w:r>
      <w:proofErr w:type="spellEnd"/>
      <w:r>
        <w:t xml:space="preserve"> </w:t>
      </w:r>
      <w:proofErr w:type="spellStart"/>
      <w:proofErr w:type="gramStart"/>
      <w:r>
        <w:t>again</w:t>
      </w:r>
      <w:proofErr w:type="spellEnd"/>
      <w:r>
        <w:t>!,</w:t>
      </w:r>
      <w:proofErr w:type="gramEnd"/>
      <w:r>
        <w:t xml:space="preserve"> Zuerst die LMS und jetzt die KEF: Das Saarland und die Staatsferne des Rundfunks, MK 15/2020, 3 ff.</w:t>
      </w:r>
    </w:p>
  </w:footnote>
  <w:footnote w:id="58">
    <w:p w14:paraId="4D71B826" w14:textId="11C243D2" w:rsidR="00F11C1E" w:rsidRDefault="00F11C1E">
      <w:pPr>
        <w:pStyle w:val="Funotentext"/>
      </w:pPr>
      <w:r>
        <w:rPr>
          <w:rStyle w:val="Funotenzeichen"/>
        </w:rPr>
        <w:footnoteRef/>
      </w:r>
      <w:r>
        <w:t xml:space="preserve"> </w:t>
      </w:r>
      <w:r w:rsidR="0044696B">
        <w:tab/>
      </w:r>
      <w:r w:rsidRPr="00F11C1E">
        <w:rPr>
          <w:szCs w:val="24"/>
        </w:rPr>
        <w:t>BVerfGE 90, 60 (103 f., Rn. 189); 119, 181 (226 f., Rn. 147 ff.)</w:t>
      </w:r>
      <w:r w:rsidR="004239B4">
        <w:rPr>
          <w:szCs w:val="24"/>
        </w:rPr>
        <w:t>.</w:t>
      </w:r>
    </w:p>
  </w:footnote>
  <w:footnote w:id="59">
    <w:p w14:paraId="6D4E842B" w14:textId="7FB65AB1" w:rsidR="0044696B" w:rsidRDefault="0044696B">
      <w:pPr>
        <w:pStyle w:val="Funotentext"/>
      </w:pPr>
      <w:r>
        <w:rPr>
          <w:rStyle w:val="Funotenzeichen"/>
        </w:rPr>
        <w:footnoteRef/>
      </w:r>
      <w:r>
        <w:t xml:space="preserve"> </w:t>
      </w:r>
      <w:r w:rsidR="004239B4">
        <w:tab/>
      </w:r>
      <w:r>
        <w:t>BVerfGE 57, 295</w:t>
      </w:r>
      <w:r w:rsidR="004239B4">
        <w:t>.</w:t>
      </w:r>
    </w:p>
  </w:footnote>
  <w:footnote w:id="60">
    <w:p w14:paraId="4CE3B9A2" w14:textId="2289134E" w:rsidR="0044696B" w:rsidRDefault="0044696B">
      <w:pPr>
        <w:pStyle w:val="Funotentext"/>
      </w:pPr>
      <w:r>
        <w:rPr>
          <w:rStyle w:val="Funotenzeichen"/>
        </w:rPr>
        <w:footnoteRef/>
      </w:r>
      <w:r>
        <w:t xml:space="preserve"> </w:t>
      </w:r>
      <w:r>
        <w:tab/>
        <w:t>BVerfGE 73, 118</w:t>
      </w:r>
      <w:r w:rsidR="004239B4">
        <w:t>.</w:t>
      </w:r>
    </w:p>
  </w:footnote>
  <w:footnote w:id="61">
    <w:p w14:paraId="2CE73F11" w14:textId="0609D207" w:rsidR="00A91093" w:rsidRDefault="00A91093">
      <w:pPr>
        <w:pStyle w:val="Funotentext"/>
      </w:pPr>
      <w:r>
        <w:rPr>
          <w:rStyle w:val="Funotenzeichen"/>
        </w:rPr>
        <w:footnoteRef/>
      </w:r>
      <w:r>
        <w:t xml:space="preserve"> </w:t>
      </w:r>
      <w:r w:rsidR="004239B4">
        <w:tab/>
      </w:r>
      <w:r>
        <w:t>BVerfGE 73, 118 (152, Rn. 141); 57, 295 (319, Rn. 101)</w:t>
      </w:r>
      <w:r w:rsidR="004239B4">
        <w:t>.</w:t>
      </w:r>
    </w:p>
  </w:footnote>
  <w:footnote w:id="62">
    <w:p w14:paraId="12B372C6" w14:textId="53372817" w:rsidR="00D1508D" w:rsidRDefault="00D1508D">
      <w:pPr>
        <w:pStyle w:val="Funotentext"/>
      </w:pPr>
      <w:r>
        <w:rPr>
          <w:rStyle w:val="Funotenzeichen"/>
        </w:rPr>
        <w:footnoteRef/>
      </w:r>
      <w:r>
        <w:t xml:space="preserve"> </w:t>
      </w:r>
      <w:r w:rsidR="004239B4">
        <w:tab/>
      </w:r>
      <w:r>
        <w:t xml:space="preserve">BVerfGE 73, 111 (152, Rn. 141) unter Hinweis auf </w:t>
      </w:r>
      <w:r w:rsidRPr="00D1508D">
        <w:t xml:space="preserve">BVerfGE 59, 231 </w:t>
      </w:r>
      <w:r>
        <w:t>(</w:t>
      </w:r>
      <w:hyperlink r:id="rId7" w:anchor="257" w:history="1">
        <w:r w:rsidRPr="00D1508D">
          <w:t>257 f.</w:t>
        </w:r>
      </w:hyperlink>
      <w:r>
        <w:t>, Rn. 56)</w:t>
      </w:r>
      <w:r w:rsidR="004239B4">
        <w:t>.</w:t>
      </w:r>
    </w:p>
  </w:footnote>
  <w:footnote w:id="63">
    <w:p w14:paraId="46A3D426" w14:textId="49656DEE" w:rsidR="00883D3F" w:rsidRDefault="00883D3F">
      <w:pPr>
        <w:pStyle w:val="Funotentext"/>
      </w:pPr>
      <w:r>
        <w:rPr>
          <w:rStyle w:val="Funotenzeichen"/>
        </w:rPr>
        <w:footnoteRef/>
      </w:r>
      <w:r>
        <w:t xml:space="preserve"> </w:t>
      </w:r>
      <w:r w:rsidR="004239B4">
        <w:tab/>
      </w:r>
      <w:r>
        <w:t>BVerfGE 73, 111 (152 f., Rn. 142); 57, 295 (320, Rn. 104)</w:t>
      </w:r>
      <w:r w:rsidR="004239B4">
        <w:t>.</w:t>
      </w:r>
    </w:p>
  </w:footnote>
  <w:footnote w:id="64">
    <w:p w14:paraId="5A4CC0CB" w14:textId="3047B131" w:rsidR="00883D3F" w:rsidRDefault="00883D3F">
      <w:pPr>
        <w:pStyle w:val="Funotentext"/>
      </w:pPr>
      <w:r>
        <w:rPr>
          <w:rStyle w:val="Funotenzeichen"/>
        </w:rPr>
        <w:footnoteRef/>
      </w:r>
      <w:r>
        <w:t xml:space="preserve"> </w:t>
      </w:r>
      <w:r w:rsidR="004239B4">
        <w:tab/>
      </w:r>
      <w:r>
        <w:t>BVerfGE 73, 111 (152 f., Rn. 142); 57, 295 (320, Rn. 104)</w:t>
      </w:r>
      <w:r w:rsidR="004239B4">
        <w:t>.</w:t>
      </w:r>
    </w:p>
  </w:footnote>
  <w:footnote w:id="65">
    <w:p w14:paraId="66643A10" w14:textId="68A580B6" w:rsidR="00883D3F" w:rsidRDefault="00883D3F">
      <w:pPr>
        <w:pStyle w:val="Funotentext"/>
      </w:pPr>
      <w:r>
        <w:rPr>
          <w:rStyle w:val="Funotenzeichen"/>
        </w:rPr>
        <w:footnoteRef/>
      </w:r>
      <w:r>
        <w:t xml:space="preserve"> </w:t>
      </w:r>
      <w:r w:rsidR="004239B4">
        <w:tab/>
      </w:r>
      <w:r>
        <w:t>Grundlegend BVerfGE 57, 295</w:t>
      </w:r>
      <w:r w:rsidR="00CE10AB">
        <w:t xml:space="preserve"> (321, Rn. 106)</w:t>
      </w:r>
      <w:r w:rsidR="004239B4">
        <w:t>.</w:t>
      </w:r>
    </w:p>
  </w:footnote>
  <w:footnote w:id="66">
    <w:p w14:paraId="4356FE41" w14:textId="12AF42E2" w:rsidR="00CE10AB" w:rsidRDefault="00CE10AB">
      <w:pPr>
        <w:pStyle w:val="Funotentext"/>
      </w:pPr>
      <w:r>
        <w:rPr>
          <w:rStyle w:val="Funotenzeichen"/>
        </w:rPr>
        <w:footnoteRef/>
      </w:r>
      <w:r>
        <w:t xml:space="preserve"> </w:t>
      </w:r>
      <w:r w:rsidR="00C50362">
        <w:tab/>
      </w:r>
      <w:r>
        <w:t>BVerfGE 73, 111 (153, Rn. 143)</w:t>
      </w:r>
      <w:r w:rsidR="004239B4">
        <w:t>.</w:t>
      </w:r>
    </w:p>
  </w:footnote>
  <w:footnote w:id="67">
    <w:p w14:paraId="13916F5B" w14:textId="44D7FA2C" w:rsidR="00F47542" w:rsidRDefault="00F47542">
      <w:pPr>
        <w:pStyle w:val="Funotentext"/>
      </w:pPr>
      <w:r>
        <w:rPr>
          <w:rStyle w:val="Funotenzeichen"/>
        </w:rPr>
        <w:footnoteRef/>
      </w:r>
      <w:r>
        <w:t xml:space="preserve"> </w:t>
      </w:r>
      <w:r>
        <w:tab/>
        <w:t>BVerfGE 73, 118 (164, Rn. 166</w:t>
      </w:r>
      <w:r w:rsidR="004239B4">
        <w:t>)</w:t>
      </w:r>
      <w:r>
        <w:t>, in dieser Entscheidung spricht das Bundesverfassungsgericht noch von „Staatsfreiheit“, dazu oben B. II. 1.</w:t>
      </w:r>
    </w:p>
  </w:footnote>
  <w:footnote w:id="68">
    <w:p w14:paraId="66E34800" w14:textId="510046F7" w:rsidR="007F6384" w:rsidRDefault="007F6384">
      <w:pPr>
        <w:pStyle w:val="Funotentext"/>
      </w:pPr>
      <w:r>
        <w:rPr>
          <w:rStyle w:val="Funotenzeichen"/>
        </w:rPr>
        <w:footnoteRef/>
      </w:r>
      <w:r>
        <w:t xml:space="preserve"> </w:t>
      </w:r>
      <w:r>
        <w:tab/>
        <w:t>Vgl. dazu BVerfGE 73, 118 (164 f., Rn. 167)</w:t>
      </w:r>
      <w:r w:rsidR="004239B4">
        <w:t>.</w:t>
      </w:r>
    </w:p>
  </w:footnote>
  <w:footnote w:id="69">
    <w:p w14:paraId="3E00E0AB" w14:textId="34385F7A" w:rsidR="0069218B" w:rsidRDefault="0069218B">
      <w:pPr>
        <w:pStyle w:val="Funotentext"/>
      </w:pPr>
      <w:r>
        <w:rPr>
          <w:rStyle w:val="Funotenzeichen"/>
        </w:rPr>
        <w:footnoteRef/>
      </w:r>
      <w:r>
        <w:t xml:space="preserve"> </w:t>
      </w:r>
      <w:r w:rsidR="004239B4">
        <w:tab/>
      </w:r>
      <w:r>
        <w:t>BVerfGE 136, 9</w:t>
      </w:r>
      <w:r w:rsidR="003B18C4">
        <w:t>.</w:t>
      </w:r>
    </w:p>
  </w:footnote>
  <w:footnote w:id="70">
    <w:p w14:paraId="7569B455" w14:textId="71B3AC20" w:rsidR="00C50362" w:rsidRDefault="00C50362">
      <w:pPr>
        <w:pStyle w:val="Funotentext"/>
      </w:pPr>
      <w:r>
        <w:rPr>
          <w:rStyle w:val="Funotenzeichen"/>
        </w:rPr>
        <w:footnoteRef/>
      </w:r>
      <w:r>
        <w:t xml:space="preserve"> </w:t>
      </w:r>
      <w:r w:rsidR="004239B4">
        <w:tab/>
      </w:r>
      <w:r>
        <w:t>Vgl. dazu oben</w:t>
      </w:r>
      <w:r w:rsidR="004239B4">
        <w:t xml:space="preserve"> B.</w:t>
      </w:r>
      <w:r>
        <w:t xml:space="preserve"> II. 3.</w:t>
      </w:r>
    </w:p>
  </w:footnote>
  <w:footnote w:id="71">
    <w:p w14:paraId="53D2D9DC" w14:textId="76FC8827" w:rsidR="00C50362" w:rsidRDefault="00C50362">
      <w:pPr>
        <w:pStyle w:val="Funotentext"/>
      </w:pPr>
      <w:r>
        <w:rPr>
          <w:rStyle w:val="Funotenzeichen"/>
        </w:rPr>
        <w:footnoteRef/>
      </w:r>
      <w:r>
        <w:t xml:space="preserve"> </w:t>
      </w:r>
      <w:r w:rsidR="004239B4">
        <w:tab/>
      </w:r>
      <w:r>
        <w:t>BVerfGE 136, 9 (40, Rn. 54); 73, 118 (182 f., Rn. 206</w:t>
      </w:r>
      <w:r w:rsidR="008565A3">
        <w:t xml:space="preserve"> f.); 83, 238 (§23, Rn. 471)</w:t>
      </w:r>
      <w:r w:rsidR="004239B4">
        <w:t>.</w:t>
      </w:r>
    </w:p>
  </w:footnote>
  <w:footnote w:id="72">
    <w:p w14:paraId="78575592" w14:textId="6D55286B" w:rsidR="008565A3" w:rsidRPr="008565A3" w:rsidRDefault="008565A3">
      <w:pPr>
        <w:pStyle w:val="Funotentext"/>
      </w:pPr>
      <w:r>
        <w:rPr>
          <w:rStyle w:val="Funotenzeichen"/>
        </w:rPr>
        <w:footnoteRef/>
      </w:r>
      <w:r>
        <w:t xml:space="preserve"> </w:t>
      </w:r>
      <w:r w:rsidR="004239B4">
        <w:tab/>
      </w:r>
      <w:r>
        <w:t xml:space="preserve">BVerfGE 136, 9 (40 Rn. 54); so </w:t>
      </w:r>
      <w:r w:rsidRPr="008565A3">
        <w:rPr>
          <w:color w:val="000000"/>
          <w:shd w:val="clear" w:color="auto" w:fill="FFFFFF"/>
        </w:rPr>
        <w:t>auch SächsVerfGH, Urt</w:t>
      </w:r>
      <w:r>
        <w:rPr>
          <w:color w:val="000000"/>
          <w:shd w:val="clear" w:color="auto" w:fill="FFFFFF"/>
        </w:rPr>
        <w:t>.</w:t>
      </w:r>
      <w:r w:rsidRPr="008565A3">
        <w:rPr>
          <w:color w:val="000000"/>
          <w:shd w:val="clear" w:color="auto" w:fill="FFFFFF"/>
        </w:rPr>
        <w:t xml:space="preserve"> vom 10. Juli 1997 -- Vf. 13-II-96 --, NVwZ-RR 1998, 345 (347)</w:t>
      </w:r>
      <w:r w:rsidR="004239B4">
        <w:rPr>
          <w:color w:val="000000"/>
          <w:shd w:val="clear" w:color="auto" w:fill="FFFFFF"/>
        </w:rPr>
        <w:t>.</w:t>
      </w:r>
    </w:p>
  </w:footnote>
  <w:footnote w:id="73">
    <w:p w14:paraId="23B7ACA1" w14:textId="2B5B6C44" w:rsidR="003B18C4" w:rsidRDefault="003B18C4">
      <w:pPr>
        <w:pStyle w:val="Funotentext"/>
      </w:pPr>
      <w:r>
        <w:rPr>
          <w:rStyle w:val="Funotenzeichen"/>
        </w:rPr>
        <w:footnoteRef/>
      </w:r>
      <w:r>
        <w:t xml:space="preserve"> </w:t>
      </w:r>
      <w:r w:rsidR="004239B4">
        <w:tab/>
      </w:r>
      <w:r>
        <w:t>BVerfGE 136, 9 (40, Rn. 54)</w:t>
      </w:r>
      <w:r w:rsidR="004239B4">
        <w:t>.</w:t>
      </w:r>
    </w:p>
  </w:footnote>
  <w:footnote w:id="74">
    <w:p w14:paraId="1BF28AF5" w14:textId="396679CC" w:rsidR="003B18C4" w:rsidRDefault="003B18C4">
      <w:pPr>
        <w:pStyle w:val="Funotentext"/>
      </w:pPr>
      <w:r>
        <w:rPr>
          <w:rStyle w:val="Funotenzeichen"/>
        </w:rPr>
        <w:footnoteRef/>
      </w:r>
      <w:r>
        <w:t xml:space="preserve"> </w:t>
      </w:r>
      <w:r w:rsidR="004239B4">
        <w:tab/>
      </w:r>
      <w:r>
        <w:t>BVerfGE 136, 9 (40, Rn. 54)</w:t>
      </w:r>
      <w:r w:rsidR="004239B4">
        <w:t>.</w:t>
      </w:r>
    </w:p>
  </w:footnote>
  <w:footnote w:id="75">
    <w:p w14:paraId="73505289" w14:textId="6BE86521" w:rsidR="00235368" w:rsidRDefault="00235368">
      <w:pPr>
        <w:pStyle w:val="Funotentext"/>
      </w:pPr>
      <w:r>
        <w:rPr>
          <w:rStyle w:val="Funotenzeichen"/>
        </w:rPr>
        <w:footnoteRef/>
      </w:r>
      <w:r>
        <w:t xml:space="preserve"> </w:t>
      </w:r>
      <w:r w:rsidR="004239B4">
        <w:tab/>
      </w:r>
      <w:r>
        <w:t>Vgl. dazu bereits BVerfGE 73, 118 (182 f., Rn. 207)</w:t>
      </w:r>
      <w:r w:rsidR="004239B4">
        <w:t>.</w:t>
      </w:r>
    </w:p>
  </w:footnote>
  <w:footnote w:id="76">
    <w:p w14:paraId="582F1BA7" w14:textId="272FB2BB" w:rsidR="00235368" w:rsidRDefault="00235368">
      <w:pPr>
        <w:pStyle w:val="Funotentext"/>
      </w:pPr>
      <w:r>
        <w:rPr>
          <w:rStyle w:val="Funotenzeichen"/>
        </w:rPr>
        <w:footnoteRef/>
      </w:r>
      <w:r>
        <w:t xml:space="preserve"> </w:t>
      </w:r>
      <w:r w:rsidR="004239B4">
        <w:tab/>
      </w:r>
      <w:r>
        <w:t>So BVerfGE 83, 238 (323 f., Rn. 471 f.)</w:t>
      </w:r>
      <w:r w:rsidR="004239B4">
        <w:t>.</w:t>
      </w:r>
    </w:p>
  </w:footnote>
  <w:footnote w:id="77">
    <w:p w14:paraId="2FCDB66C" w14:textId="503C7586" w:rsidR="000739FB" w:rsidRDefault="000739FB">
      <w:pPr>
        <w:pStyle w:val="Funotentext"/>
      </w:pPr>
      <w:r>
        <w:rPr>
          <w:rStyle w:val="Funotenzeichen"/>
        </w:rPr>
        <w:footnoteRef/>
      </w:r>
      <w:r>
        <w:t xml:space="preserve"> </w:t>
      </w:r>
      <w:r w:rsidR="004239B4">
        <w:tab/>
      </w:r>
      <w:r>
        <w:t>Vgl. dazu oben B. II. 7.</w:t>
      </w:r>
    </w:p>
  </w:footnote>
  <w:footnote w:id="78">
    <w:p w14:paraId="00DFB3B7" w14:textId="0CB8C379" w:rsidR="00597596" w:rsidRDefault="00597596" w:rsidP="00597596">
      <w:pPr>
        <w:pStyle w:val="Funotentext"/>
      </w:pPr>
      <w:r>
        <w:rPr>
          <w:rStyle w:val="Funotenzeichen"/>
        </w:rPr>
        <w:footnoteRef/>
      </w:r>
      <w:r>
        <w:t xml:space="preserve"> </w:t>
      </w:r>
      <w:r w:rsidR="004239B4">
        <w:tab/>
      </w:r>
      <w:r>
        <w:t>GVBl. 2003, 799, zuletzt geändert durch § 1 Abs. 258 der Verordnung vom 26. März 2019 (GVBl. 2019, 98</w:t>
      </w:r>
      <w:r w:rsidR="004239B4">
        <w:t>.</w:t>
      </w:r>
    </w:p>
  </w:footnote>
  <w:footnote w:id="79">
    <w:p w14:paraId="16C0A900" w14:textId="47580693" w:rsidR="000F6822" w:rsidRDefault="000F6822" w:rsidP="000F6822">
      <w:pPr>
        <w:pStyle w:val="Funotentext"/>
      </w:pPr>
      <w:r>
        <w:rPr>
          <w:rStyle w:val="Funotenzeichen"/>
        </w:rPr>
        <w:footnoteRef/>
      </w:r>
      <w:r>
        <w:t xml:space="preserve"> </w:t>
      </w:r>
      <w:r w:rsidR="004239B4">
        <w:tab/>
      </w:r>
      <w:r>
        <w:t>Brem.GBl. 2018, 177.</w:t>
      </w:r>
    </w:p>
  </w:footnote>
  <w:footnote w:id="80">
    <w:p w14:paraId="543C76F4" w14:textId="3E563840" w:rsidR="001139D1" w:rsidRDefault="001139D1" w:rsidP="001139D1">
      <w:pPr>
        <w:pStyle w:val="Funotentext"/>
      </w:pPr>
      <w:r>
        <w:rPr>
          <w:rStyle w:val="Funotenzeichen"/>
        </w:rPr>
        <w:footnoteRef/>
      </w:r>
      <w:r>
        <w:t xml:space="preserve"> </w:t>
      </w:r>
      <w:r w:rsidR="004239B4">
        <w:tab/>
      </w:r>
      <w:r>
        <w:t>HmbGVBl. 2007, 47, GVOBl. Schl.-H. 2007, 108, zuletzt geändert durch Gesetz zum Staatsvertrag zur Änderung medienrechtlicher Vorschriften in Hamburg und Schleswig-Holstein vom 8. Dezember 2016 (Sechster Medienänderungsstaatsvertrag, HSH), HmbGVBl. 2016, 54, GVOBl. Schl.-H. 2016, 129</w:t>
      </w:r>
      <w:r w:rsidR="004239B4">
        <w:t>.</w:t>
      </w:r>
    </w:p>
  </w:footnote>
  <w:footnote w:id="81">
    <w:p w14:paraId="128C13EB" w14:textId="1CD564AA" w:rsidR="00141388" w:rsidRDefault="00141388" w:rsidP="00141388">
      <w:pPr>
        <w:pStyle w:val="Funotentext"/>
      </w:pPr>
      <w:r>
        <w:rPr>
          <w:rStyle w:val="Funotenzeichen"/>
        </w:rPr>
        <w:footnoteRef/>
      </w:r>
      <w:r>
        <w:t xml:space="preserve"> </w:t>
      </w:r>
      <w:r w:rsidR="004239B4">
        <w:tab/>
      </w:r>
      <w:r>
        <w:t>GVBI. 1995 I, 87, zuletzt geändert durch Art. 13a des Elften Gesetzes zur Verlängerung der Geltungsdauer und Änderung von Rechtsvorschriften vom 5. Oktober 2017, GVBl. 2017, 294.</w:t>
      </w:r>
    </w:p>
  </w:footnote>
  <w:footnote w:id="82">
    <w:p w14:paraId="225387A2" w14:textId="4C92FF3A" w:rsidR="009E5928" w:rsidRDefault="009E5928" w:rsidP="009E5928">
      <w:pPr>
        <w:pStyle w:val="Funotentext"/>
      </w:pPr>
      <w:r>
        <w:rPr>
          <w:rStyle w:val="Funotenzeichen"/>
        </w:rPr>
        <w:footnoteRef/>
      </w:r>
      <w:r>
        <w:t xml:space="preserve"> </w:t>
      </w:r>
      <w:r w:rsidR="004239B4">
        <w:tab/>
      </w:r>
      <w:r>
        <w:t>GVOBl. M-V 2003, S. 510, zuletzt geändert durch Artikel 3 des Gesetzes vom 3. Mai 2018, GVOBl. M-V 2018, 158</w:t>
      </w:r>
      <w:r w:rsidR="004239B4">
        <w:t>.</w:t>
      </w:r>
    </w:p>
  </w:footnote>
  <w:footnote w:id="83">
    <w:p w14:paraId="6355386F" w14:textId="4B142B88" w:rsidR="002522E4" w:rsidRDefault="002522E4">
      <w:pPr>
        <w:pStyle w:val="Funotentext"/>
      </w:pPr>
      <w:r>
        <w:rPr>
          <w:rStyle w:val="Funotenzeichen"/>
        </w:rPr>
        <w:footnoteRef/>
      </w:r>
      <w:r>
        <w:t xml:space="preserve"> </w:t>
      </w:r>
      <w:r w:rsidR="004239B4">
        <w:tab/>
      </w:r>
      <w:r>
        <w:t>Nds. GVBl. 2020, 112</w:t>
      </w:r>
      <w:r w:rsidR="004239B4">
        <w:t>.</w:t>
      </w:r>
    </w:p>
  </w:footnote>
  <w:footnote w:id="84">
    <w:p w14:paraId="303EFB1E" w14:textId="5FC80B0F" w:rsidR="000F6822" w:rsidRDefault="000F6822" w:rsidP="000F6822">
      <w:pPr>
        <w:pStyle w:val="Funotentext"/>
      </w:pPr>
      <w:r>
        <w:rPr>
          <w:rStyle w:val="Funotenzeichen"/>
        </w:rPr>
        <w:footnoteRef/>
      </w:r>
      <w:r>
        <w:t xml:space="preserve"> </w:t>
      </w:r>
      <w:r w:rsidR="004239B4">
        <w:tab/>
      </w:r>
      <w:r>
        <w:t>GV. NRW. 2002, 334, zuletzt geändert durch Gesetz vom 3.</w:t>
      </w:r>
      <w:r w:rsidR="009E5928">
        <w:t xml:space="preserve"> April </w:t>
      </w:r>
      <w:r>
        <w:t>2020, GV. NRW. 2020, 284.</w:t>
      </w:r>
    </w:p>
  </w:footnote>
  <w:footnote w:id="85">
    <w:p w14:paraId="2FE765AD" w14:textId="185D3703" w:rsidR="00035396" w:rsidRDefault="00035396">
      <w:pPr>
        <w:pStyle w:val="Funotentext"/>
      </w:pPr>
      <w:r>
        <w:rPr>
          <w:rStyle w:val="Funotenzeichen"/>
        </w:rPr>
        <w:footnoteRef/>
      </w:r>
      <w:r>
        <w:t xml:space="preserve"> </w:t>
      </w:r>
      <w:r w:rsidR="004239B4">
        <w:tab/>
      </w:r>
      <w:r>
        <w:t>GVBl. 2018, 431, zuletzt geändert durch § 5 des Gesetzes vom 03. September 2020, GVBl. 2020, 372.</w:t>
      </w:r>
    </w:p>
  </w:footnote>
  <w:footnote w:id="86">
    <w:p w14:paraId="0C150D82" w14:textId="1622B553" w:rsidR="001316BB" w:rsidRDefault="001316BB" w:rsidP="001316BB">
      <w:pPr>
        <w:pStyle w:val="Funotentext"/>
      </w:pPr>
      <w:r>
        <w:rPr>
          <w:rStyle w:val="Funotenzeichen"/>
        </w:rPr>
        <w:footnoteRef/>
      </w:r>
      <w:r>
        <w:t xml:space="preserve"> </w:t>
      </w:r>
      <w:r w:rsidR="004239B4">
        <w:tab/>
      </w:r>
      <w:r>
        <w:t>SächsGVBl. 2001, 69 u. 684, zuletzt geändert durch das Sechste Gesetz zur Änderung des Sächsischen Privatrundfunkgesetzes vom 11. Dezember 2018, SächsGVBl. 2018, 810</w:t>
      </w:r>
      <w:r w:rsidR="004239B4">
        <w:t>.</w:t>
      </w:r>
    </w:p>
  </w:footnote>
  <w:footnote w:id="87">
    <w:p w14:paraId="032AD270" w14:textId="665446CC" w:rsidR="00A847AC" w:rsidRPr="00A847AC" w:rsidRDefault="00A847AC">
      <w:pPr>
        <w:pStyle w:val="Funotentext"/>
      </w:pPr>
      <w:r w:rsidRPr="00A847AC">
        <w:rPr>
          <w:rStyle w:val="Funotenzeichen"/>
        </w:rPr>
        <w:footnoteRef/>
      </w:r>
      <w:r w:rsidRPr="00A847AC">
        <w:t xml:space="preserve"> </w:t>
      </w:r>
      <w:r>
        <w:tab/>
      </w:r>
      <w:r w:rsidRPr="00A847AC">
        <w:rPr>
          <w:shd w:val="clear" w:color="auto" w:fill="FFFFFF"/>
        </w:rPr>
        <w:t>GVBl. LSA 2013,</w:t>
      </w:r>
      <w:r w:rsidR="004239B4">
        <w:rPr>
          <w:shd w:val="clear" w:color="auto" w:fill="FFFFFF"/>
        </w:rPr>
        <w:t xml:space="preserve"> </w:t>
      </w:r>
      <w:r w:rsidRPr="00A847AC">
        <w:rPr>
          <w:shd w:val="clear" w:color="auto" w:fill="FFFFFF"/>
        </w:rPr>
        <w:t>2, 3</w:t>
      </w:r>
      <w:r w:rsidR="004239B4">
        <w:rPr>
          <w:shd w:val="clear" w:color="auto" w:fill="FFFFFF"/>
        </w:rPr>
        <w:t>.</w:t>
      </w:r>
    </w:p>
  </w:footnote>
  <w:footnote w:id="88">
    <w:p w14:paraId="08A02514" w14:textId="4A2CF3F3" w:rsidR="00D165D7" w:rsidRDefault="00D165D7">
      <w:pPr>
        <w:pStyle w:val="Funotentext"/>
      </w:pPr>
      <w:r>
        <w:rPr>
          <w:rStyle w:val="Funotenzeichen"/>
        </w:rPr>
        <w:footnoteRef/>
      </w:r>
      <w:r>
        <w:t xml:space="preserve"> </w:t>
      </w:r>
      <w:r w:rsidR="004239B4">
        <w:tab/>
      </w:r>
      <w:r>
        <w:t>GVBl. 2014, 385, zuletzt geändert durch das Thüringer Gesetz zur Anpassung des Allgemeinen Datenschutzrechts an die Verordnung (EU) 2016/679 und zur Umsetzung der Richtlinie (EU) 2016/680 vom 6. Juni 2018, GVBl. Nr. 6/2018, 1</w:t>
      </w:r>
      <w:r w:rsidR="004239B4">
        <w:t>.</w:t>
      </w:r>
    </w:p>
  </w:footnote>
  <w:footnote w:id="89">
    <w:p w14:paraId="627D9542" w14:textId="2E83ECDD" w:rsidR="00860792" w:rsidRDefault="00860792" w:rsidP="00860792">
      <w:pPr>
        <w:pStyle w:val="Funotentext"/>
      </w:pPr>
      <w:r>
        <w:rPr>
          <w:rStyle w:val="Funotenzeichen"/>
        </w:rPr>
        <w:footnoteRef/>
      </w:r>
      <w:r>
        <w:t xml:space="preserve"> </w:t>
      </w:r>
      <w:r w:rsidR="004239B4">
        <w:tab/>
      </w:r>
      <w:r>
        <w:t>Berlin GVBl. 1992, 150; Brandenburg GVBl. 1992, 142, in der Fassung des Sechsten Staatsvertrages zur Änderung des Staatsvertrages über die Zusammenarbeit zwischen Berlin und Brandenburg im Bereich der Medien vom 26. März/4. April 2019, Berlin GVBl. 2019, 536; Brandenburg GVBl. I 2019, 1</w:t>
      </w:r>
      <w:r w:rsidR="004239B4">
        <w:t>.</w:t>
      </w:r>
    </w:p>
  </w:footnote>
  <w:footnote w:id="90">
    <w:p w14:paraId="35FB7D95" w14:textId="7BCE2590" w:rsidR="00035396" w:rsidRDefault="00035396" w:rsidP="00035396">
      <w:pPr>
        <w:pStyle w:val="Funotentext"/>
      </w:pPr>
      <w:r>
        <w:rPr>
          <w:rStyle w:val="Funotenzeichen"/>
        </w:rPr>
        <w:footnoteRef/>
      </w:r>
      <w:r w:rsidR="004239B4">
        <w:t xml:space="preserve"> </w:t>
      </w:r>
      <w:r w:rsidR="004239B4">
        <w:tab/>
      </w:r>
      <w:r>
        <w:t>GBl. 1999, 273 u. 387, zuletzt geändert durch das Gesetz zur Änderung des Landesmediengesetzes vom 26. Mai 2020, GBl. 2020, 306</w:t>
      </w:r>
      <w:r w:rsidR="004239B4">
        <w:t>.</w:t>
      </w:r>
    </w:p>
  </w:footnote>
  <w:footnote w:id="91">
    <w:p w14:paraId="6EA71123" w14:textId="1BCBFDA3" w:rsidR="00B43CBB" w:rsidRDefault="00B43CBB">
      <w:pPr>
        <w:pStyle w:val="Funotentext"/>
      </w:pPr>
      <w:r>
        <w:rPr>
          <w:rStyle w:val="Funotenzeichen"/>
        </w:rPr>
        <w:footnoteRef/>
      </w:r>
      <w:r>
        <w:t xml:space="preserve"> </w:t>
      </w:r>
      <w:r w:rsidR="004239B4">
        <w:tab/>
      </w:r>
      <w:r>
        <w:t>BVerfGE 136, 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FB2A0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89207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E686B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FC16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9C882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4CCC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50E8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DE32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5C6B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20EE28"/>
    <w:lvl w:ilvl="0">
      <w:start w:val="1"/>
      <w:numFmt w:val="decimal"/>
      <w:pStyle w:val="Aufzhlungszeichen"/>
      <w:lvlText w:val="%1."/>
      <w:lvlJc w:val="left"/>
      <w:pPr>
        <w:tabs>
          <w:tab w:val="num" w:pos="360"/>
        </w:tabs>
        <w:ind w:left="360" w:hanging="360"/>
      </w:pPr>
      <w:rPr>
        <w:rFonts w:hint="default"/>
      </w:rPr>
    </w:lvl>
  </w:abstractNum>
  <w:abstractNum w:abstractNumId="10" w15:restartNumberingAfterBreak="0">
    <w:nsid w:val="03BF595F"/>
    <w:multiLevelType w:val="hybridMultilevel"/>
    <w:tmpl w:val="B7BC40A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0A5638B7"/>
    <w:multiLevelType w:val="multilevel"/>
    <w:tmpl w:val="1F74FFB6"/>
    <w:lvl w:ilvl="0">
      <w:start w:val="1"/>
      <w:numFmt w:val="upperLetter"/>
      <w:pStyle w:val="berschrift1"/>
      <w:lvlText w:val="%1."/>
      <w:lvlJc w:val="left"/>
      <w:pPr>
        <w:tabs>
          <w:tab w:val="num" w:pos="0"/>
        </w:tabs>
        <w:ind w:left="720" w:hanging="720"/>
      </w:pPr>
      <w:rPr>
        <w:rFonts w:hint="default"/>
      </w:rPr>
    </w:lvl>
    <w:lvl w:ilvl="1">
      <w:start w:val="1"/>
      <w:numFmt w:val="upperRoman"/>
      <w:pStyle w:val="berschrift2"/>
      <w:lvlText w:val="%2."/>
      <w:lvlJc w:val="left"/>
      <w:pPr>
        <w:tabs>
          <w:tab w:val="num" w:pos="0"/>
        </w:tabs>
        <w:ind w:left="0" w:firstLine="0"/>
      </w:pPr>
      <w:rPr>
        <w:rFonts w:hint="default"/>
      </w:rPr>
    </w:lvl>
    <w:lvl w:ilvl="2">
      <w:start w:val="1"/>
      <w:numFmt w:val="decimal"/>
      <w:pStyle w:val="berschrift3"/>
      <w:lvlText w:val="%3."/>
      <w:lvlJc w:val="left"/>
      <w:pPr>
        <w:tabs>
          <w:tab w:val="num" w:pos="2693"/>
        </w:tabs>
        <w:ind w:left="2693" w:firstLine="0"/>
      </w:pPr>
      <w:rPr>
        <w:rFonts w:hint="default"/>
      </w:rPr>
    </w:lvl>
    <w:lvl w:ilvl="3">
      <w:start w:val="1"/>
      <w:numFmt w:val="lowerLetter"/>
      <w:pStyle w:val="berschrift4"/>
      <w:lvlText w:val="%4)"/>
      <w:lvlJc w:val="left"/>
      <w:pPr>
        <w:tabs>
          <w:tab w:val="num" w:pos="0"/>
        </w:tabs>
        <w:ind w:left="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pStyle w:val="berschrift6"/>
      <w:lvlText w:val="(%6)"/>
      <w:lvlJc w:val="left"/>
      <w:pPr>
        <w:tabs>
          <w:tab w:val="num" w:pos="3960"/>
        </w:tabs>
        <w:ind w:left="3600" w:firstLine="0"/>
      </w:pPr>
      <w:rPr>
        <w:rFonts w:hint="default"/>
      </w:rPr>
    </w:lvl>
    <w:lvl w:ilvl="6">
      <w:start w:val="1"/>
      <w:numFmt w:val="lowerRoman"/>
      <w:pStyle w:val="berschrift7"/>
      <w:lvlText w:val="(%7)"/>
      <w:lvlJc w:val="left"/>
      <w:pPr>
        <w:tabs>
          <w:tab w:val="num" w:pos="4680"/>
        </w:tabs>
        <w:ind w:left="4320" w:firstLine="0"/>
      </w:pPr>
      <w:rPr>
        <w:rFonts w:hint="default"/>
      </w:rPr>
    </w:lvl>
    <w:lvl w:ilvl="7">
      <w:start w:val="1"/>
      <w:numFmt w:val="lowerLetter"/>
      <w:pStyle w:val="berschrift8"/>
      <w:lvlText w:val="(%8)"/>
      <w:lvlJc w:val="left"/>
      <w:pPr>
        <w:tabs>
          <w:tab w:val="num" w:pos="5400"/>
        </w:tabs>
        <w:ind w:left="5040" w:firstLine="0"/>
      </w:pPr>
      <w:rPr>
        <w:rFonts w:hint="default"/>
      </w:rPr>
    </w:lvl>
    <w:lvl w:ilvl="8">
      <w:start w:val="1"/>
      <w:numFmt w:val="lowerRoman"/>
      <w:pStyle w:val="berschrift9"/>
      <w:lvlText w:val="(%9)"/>
      <w:lvlJc w:val="left"/>
      <w:pPr>
        <w:tabs>
          <w:tab w:val="num" w:pos="6120"/>
        </w:tabs>
        <w:ind w:left="5760" w:firstLine="0"/>
      </w:pPr>
      <w:rPr>
        <w:rFonts w:hint="default"/>
      </w:rPr>
    </w:lvl>
  </w:abstractNum>
  <w:abstractNum w:abstractNumId="12" w15:restartNumberingAfterBreak="0">
    <w:nsid w:val="0F1549D4"/>
    <w:multiLevelType w:val="hybridMultilevel"/>
    <w:tmpl w:val="0E48248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15:restartNumberingAfterBreak="0">
    <w:nsid w:val="142D30ED"/>
    <w:multiLevelType w:val="hybridMultilevel"/>
    <w:tmpl w:val="DC7E810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1E7512FD"/>
    <w:multiLevelType w:val="hybridMultilevel"/>
    <w:tmpl w:val="3F667B8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 w15:restartNumberingAfterBreak="0">
    <w:nsid w:val="2B081C7C"/>
    <w:multiLevelType w:val="hybridMultilevel"/>
    <w:tmpl w:val="CCB25282"/>
    <w:lvl w:ilvl="0" w:tplc="801647EA">
      <w:start w:val="1"/>
      <w:numFmt w:val="decimal"/>
      <w:pStyle w:val="Formatvorlageberschrift5ErsteZeile0cm"/>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DD61A2F"/>
    <w:multiLevelType w:val="hybridMultilevel"/>
    <w:tmpl w:val="D1F67B18"/>
    <w:lvl w:ilvl="0" w:tplc="2EE20204">
      <w:start w:val="1"/>
      <w:numFmt w:val="decimal"/>
      <w:pStyle w:val="berschrift5"/>
      <w:lvlText w:val="(%1)"/>
      <w:lvlJc w:val="left"/>
      <w:pPr>
        <w:ind w:left="36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E262C5C"/>
    <w:multiLevelType w:val="hybridMultilevel"/>
    <w:tmpl w:val="801AC4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E497072"/>
    <w:multiLevelType w:val="hybridMultilevel"/>
    <w:tmpl w:val="0BE24B3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3C7A66EC"/>
    <w:multiLevelType w:val="hybridMultilevel"/>
    <w:tmpl w:val="6F12A8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6DF2F6B"/>
    <w:multiLevelType w:val="hybridMultilevel"/>
    <w:tmpl w:val="CF42CD6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FE84296"/>
    <w:multiLevelType w:val="hybridMultilevel"/>
    <w:tmpl w:val="5B7409C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642775A"/>
    <w:multiLevelType w:val="multilevel"/>
    <w:tmpl w:val="56462ED0"/>
    <w:lvl w:ilvl="0">
      <w:start w:val="1"/>
      <w:numFmt w:val="upperLetter"/>
      <w:pStyle w:val="Studieberschriftaa"/>
      <w:suff w:val="space"/>
      <w:lvlText w:val="%1. "/>
      <w:lvlJc w:val="left"/>
      <w:pPr>
        <w:ind w:left="0" w:firstLine="0"/>
      </w:pPr>
      <w:rPr>
        <w:rFonts w:ascii="Arial" w:hAnsi="Arial" w:hint="default"/>
        <w:b/>
        <w:i w:val="0"/>
        <w:sz w:val="28"/>
        <w:szCs w:val="26"/>
      </w:rPr>
    </w:lvl>
    <w:lvl w:ilvl="1">
      <w:start w:val="1"/>
      <w:numFmt w:val="upperRoman"/>
      <w:pStyle w:val="Studieberschrift2"/>
      <w:suff w:val="space"/>
      <w:lvlText w:val="%2. "/>
      <w:lvlJc w:val="left"/>
      <w:pPr>
        <w:ind w:left="0" w:firstLine="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Studieberschrift3"/>
      <w:suff w:val="space"/>
      <w:lvlText w:val="%3. "/>
      <w:lvlJc w:val="left"/>
      <w:pPr>
        <w:ind w:left="0" w:firstLine="0"/>
      </w:pPr>
      <w:rPr>
        <w:rFonts w:ascii="Arial" w:hAnsi="Arial" w:hint="default"/>
        <w:b/>
        <w:i w:val="0"/>
        <w:sz w:val="22"/>
        <w:szCs w:val="22"/>
      </w:rPr>
    </w:lvl>
    <w:lvl w:ilvl="3">
      <w:start w:val="1"/>
      <w:numFmt w:val="lowerLetter"/>
      <w:suff w:val="space"/>
      <w:lvlText w:val="%4."/>
      <w:lvlJc w:val="left"/>
      <w:pPr>
        <w:ind w:left="0" w:firstLine="0"/>
      </w:pPr>
      <w:rPr>
        <w:rFonts w:ascii="Arial" w:hAnsi="Arial" w:hint="default"/>
        <w:b/>
        <w:i w:val="0"/>
        <w:sz w:val="22"/>
        <w:szCs w:val="22"/>
      </w:rPr>
    </w:lvl>
    <w:lvl w:ilvl="4">
      <w:start w:val="27"/>
      <w:numFmt w:val="lowerLetter"/>
      <w:pStyle w:val="Studieberschriftaa"/>
      <w:suff w:val="space"/>
      <w:lvlText w:val="%5. "/>
      <w:lvlJc w:val="left"/>
      <w:pPr>
        <w:ind w:left="0" w:firstLine="0"/>
      </w:pPr>
      <w:rPr>
        <w:rFonts w:ascii="Arial" w:hAnsi="Arial" w:hint="default"/>
        <w:b/>
        <w:i w:val="0"/>
        <w:sz w:val="22"/>
        <w:szCs w:val="22"/>
      </w:rPr>
    </w:lvl>
    <w:lvl w:ilvl="5">
      <w:start w:val="1"/>
      <w:numFmt w:val="decimal"/>
      <w:suff w:val="space"/>
      <w:lvlText w:val="(%6) "/>
      <w:lvlJc w:val="left"/>
      <w:pPr>
        <w:ind w:left="0" w:firstLine="0"/>
      </w:pPr>
      <w:rPr>
        <w:rFonts w:ascii="Arial" w:hAnsi="Arial" w:hint="default"/>
        <w:b w:val="0"/>
        <w:i w:val="0"/>
        <w:sz w:val="22"/>
        <w:szCs w:val="22"/>
      </w:rPr>
    </w:lvl>
    <w:lvl w:ilvl="6">
      <w:start w:val="1"/>
      <w:numFmt w:val="lowerLetter"/>
      <w:suff w:val="space"/>
      <w:lvlText w:val="(%7) "/>
      <w:lvlJc w:val="left"/>
      <w:pPr>
        <w:ind w:left="0" w:firstLine="0"/>
      </w:pPr>
      <w:rPr>
        <w:rFonts w:ascii="Arial" w:hAnsi="Arial" w:hint="default"/>
        <w:b w:val="0"/>
        <w:i w:val="0"/>
        <w:sz w:val="22"/>
        <w:szCs w:val="22"/>
      </w:rPr>
    </w:lvl>
    <w:lvl w:ilvl="7">
      <w:start w:val="1"/>
      <w:numFmt w:val="bullet"/>
      <w:lvlText w:val=""/>
      <w:lvlJc w:val="left"/>
      <w:pPr>
        <w:tabs>
          <w:tab w:val="num" w:pos="360"/>
        </w:tabs>
        <w:ind w:left="227" w:hanging="227"/>
      </w:pPr>
      <w:rPr>
        <w:rFonts w:ascii="Wingdings 3" w:hAnsi="Wingdings 3" w:hint="default"/>
        <w:sz w:val="24"/>
      </w:rPr>
    </w:lvl>
    <w:lvl w:ilvl="8">
      <w:start w:val="1"/>
      <w:numFmt w:val="bullet"/>
      <w:lvlText w:val="–"/>
      <w:lvlJc w:val="left"/>
      <w:pPr>
        <w:tabs>
          <w:tab w:val="num" w:pos="794"/>
        </w:tabs>
        <w:ind w:left="794" w:hanging="794"/>
      </w:pPr>
      <w:rPr>
        <w:rFonts w:ascii="Times New Roman" w:hAnsi="Times New Roman" w:hint="default"/>
        <w:sz w:val="16"/>
      </w:rPr>
    </w:lvl>
  </w:abstractNum>
  <w:abstractNum w:abstractNumId="23" w15:restartNumberingAfterBreak="0">
    <w:nsid w:val="586571E6"/>
    <w:multiLevelType w:val="hybridMultilevel"/>
    <w:tmpl w:val="CF42CD6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B602C4F"/>
    <w:multiLevelType w:val="hybridMultilevel"/>
    <w:tmpl w:val="3C285A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134486A"/>
    <w:multiLevelType w:val="hybridMultilevel"/>
    <w:tmpl w:val="CF42CD6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F9040A2"/>
    <w:multiLevelType w:val="hybridMultilevel"/>
    <w:tmpl w:val="D0CCA9CC"/>
    <w:lvl w:ilvl="0" w:tplc="04070013">
      <w:start w:val="1"/>
      <w:numFmt w:val="upperRoman"/>
      <w:lvlText w:val="%1."/>
      <w:lvlJc w:val="righ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2"/>
  </w:num>
  <w:num w:numId="2">
    <w:abstractNumId w:val="11"/>
  </w:num>
  <w:num w:numId="3">
    <w:abstractNumId w:val="9"/>
  </w:num>
  <w:num w:numId="4">
    <w:abstractNumId w:val="16"/>
  </w:num>
  <w:num w:numId="5">
    <w:abstractNumId w:val="15"/>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7"/>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14"/>
  </w:num>
  <w:num w:numId="19">
    <w:abstractNumId w:val="18"/>
  </w:num>
  <w:num w:numId="20">
    <w:abstractNumId w:val="13"/>
  </w:num>
  <w:num w:numId="21">
    <w:abstractNumId w:val="10"/>
  </w:num>
  <w:num w:numId="22">
    <w:abstractNumId w:val="10"/>
  </w:num>
  <w:num w:numId="23">
    <w:abstractNumId w:val="12"/>
  </w:num>
  <w:num w:numId="24">
    <w:abstractNumId w:val="13"/>
  </w:num>
  <w:num w:numId="25">
    <w:abstractNumId w:val="19"/>
  </w:num>
  <w:num w:numId="26">
    <w:abstractNumId w:val="20"/>
  </w:num>
  <w:num w:numId="27">
    <w:abstractNumId w:val="25"/>
  </w:num>
  <w:num w:numId="28">
    <w:abstractNumId w:val="26"/>
  </w:num>
  <w:num w:numId="29">
    <w:abstractNumId w:val="23"/>
  </w:num>
  <w:num w:numId="30">
    <w:abstractNumId w:val="21"/>
  </w:num>
  <w:num w:numId="31">
    <w:abstractNumId w:val="16"/>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isplayBackgroundShape/>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3E44"/>
    <w:rsid w:val="0000062F"/>
    <w:rsid w:val="00000C05"/>
    <w:rsid w:val="0000119A"/>
    <w:rsid w:val="000013D2"/>
    <w:rsid w:val="00001638"/>
    <w:rsid w:val="000018AB"/>
    <w:rsid w:val="00001A65"/>
    <w:rsid w:val="00001C7A"/>
    <w:rsid w:val="00001E32"/>
    <w:rsid w:val="000028C3"/>
    <w:rsid w:val="00002C25"/>
    <w:rsid w:val="00002CC6"/>
    <w:rsid w:val="00003413"/>
    <w:rsid w:val="0000353E"/>
    <w:rsid w:val="00003CA2"/>
    <w:rsid w:val="00003DDF"/>
    <w:rsid w:val="00004AE1"/>
    <w:rsid w:val="000051CC"/>
    <w:rsid w:val="000053D5"/>
    <w:rsid w:val="00006C85"/>
    <w:rsid w:val="00007EFE"/>
    <w:rsid w:val="000100A0"/>
    <w:rsid w:val="00010209"/>
    <w:rsid w:val="00011269"/>
    <w:rsid w:val="00011C6F"/>
    <w:rsid w:val="00011FC2"/>
    <w:rsid w:val="00012521"/>
    <w:rsid w:val="000130B4"/>
    <w:rsid w:val="00013147"/>
    <w:rsid w:val="00013349"/>
    <w:rsid w:val="00013F86"/>
    <w:rsid w:val="00013FFF"/>
    <w:rsid w:val="000152F2"/>
    <w:rsid w:val="00015320"/>
    <w:rsid w:val="0001546E"/>
    <w:rsid w:val="000154F9"/>
    <w:rsid w:val="0001678C"/>
    <w:rsid w:val="00017027"/>
    <w:rsid w:val="00017552"/>
    <w:rsid w:val="00017952"/>
    <w:rsid w:val="00017D7A"/>
    <w:rsid w:val="000205D8"/>
    <w:rsid w:val="00020E19"/>
    <w:rsid w:val="00020E96"/>
    <w:rsid w:val="00021074"/>
    <w:rsid w:val="00021A52"/>
    <w:rsid w:val="000222D7"/>
    <w:rsid w:val="0002339F"/>
    <w:rsid w:val="000244E0"/>
    <w:rsid w:val="0002582D"/>
    <w:rsid w:val="000265FB"/>
    <w:rsid w:val="00026D7E"/>
    <w:rsid w:val="000300C6"/>
    <w:rsid w:val="000302F8"/>
    <w:rsid w:val="000304D7"/>
    <w:rsid w:val="0003263D"/>
    <w:rsid w:val="000327CF"/>
    <w:rsid w:val="00033DBD"/>
    <w:rsid w:val="00033E82"/>
    <w:rsid w:val="00033F41"/>
    <w:rsid w:val="00034095"/>
    <w:rsid w:val="000346BE"/>
    <w:rsid w:val="00034905"/>
    <w:rsid w:val="00034B66"/>
    <w:rsid w:val="00035396"/>
    <w:rsid w:val="00035459"/>
    <w:rsid w:val="00035899"/>
    <w:rsid w:val="00035958"/>
    <w:rsid w:val="00035D88"/>
    <w:rsid w:val="00035EA1"/>
    <w:rsid w:val="0003732E"/>
    <w:rsid w:val="00040FB7"/>
    <w:rsid w:val="00040FBE"/>
    <w:rsid w:val="00041A41"/>
    <w:rsid w:val="00042425"/>
    <w:rsid w:val="000437C0"/>
    <w:rsid w:val="000439EF"/>
    <w:rsid w:val="000443C9"/>
    <w:rsid w:val="00044C30"/>
    <w:rsid w:val="0004500D"/>
    <w:rsid w:val="000459EB"/>
    <w:rsid w:val="00045C45"/>
    <w:rsid w:val="00046937"/>
    <w:rsid w:val="000500EB"/>
    <w:rsid w:val="0005013B"/>
    <w:rsid w:val="00051764"/>
    <w:rsid w:val="0005257A"/>
    <w:rsid w:val="0005351D"/>
    <w:rsid w:val="00053CAD"/>
    <w:rsid w:val="00053D89"/>
    <w:rsid w:val="00054876"/>
    <w:rsid w:val="000557B8"/>
    <w:rsid w:val="000558BD"/>
    <w:rsid w:val="00055FFC"/>
    <w:rsid w:val="000560CF"/>
    <w:rsid w:val="000561F1"/>
    <w:rsid w:val="0005636C"/>
    <w:rsid w:val="00056FA3"/>
    <w:rsid w:val="00057279"/>
    <w:rsid w:val="000579C3"/>
    <w:rsid w:val="00060314"/>
    <w:rsid w:val="0006092A"/>
    <w:rsid w:val="000611E1"/>
    <w:rsid w:val="00061732"/>
    <w:rsid w:val="000618F9"/>
    <w:rsid w:val="00061B0D"/>
    <w:rsid w:val="00061D23"/>
    <w:rsid w:val="000626B5"/>
    <w:rsid w:val="0006275D"/>
    <w:rsid w:val="00062B86"/>
    <w:rsid w:val="00062CE4"/>
    <w:rsid w:val="00063448"/>
    <w:rsid w:val="0006441B"/>
    <w:rsid w:val="00064EE0"/>
    <w:rsid w:val="00065108"/>
    <w:rsid w:val="00065140"/>
    <w:rsid w:val="00065142"/>
    <w:rsid w:val="000655C2"/>
    <w:rsid w:val="00065E3B"/>
    <w:rsid w:val="00065F4A"/>
    <w:rsid w:val="00067003"/>
    <w:rsid w:val="00067A8D"/>
    <w:rsid w:val="00070414"/>
    <w:rsid w:val="00070B01"/>
    <w:rsid w:val="00070ED0"/>
    <w:rsid w:val="00070FDD"/>
    <w:rsid w:val="00071044"/>
    <w:rsid w:val="0007136C"/>
    <w:rsid w:val="00071D40"/>
    <w:rsid w:val="00072628"/>
    <w:rsid w:val="0007345A"/>
    <w:rsid w:val="000739FB"/>
    <w:rsid w:val="00074585"/>
    <w:rsid w:val="0007591E"/>
    <w:rsid w:val="000761BA"/>
    <w:rsid w:val="00076485"/>
    <w:rsid w:val="00076908"/>
    <w:rsid w:val="00076A57"/>
    <w:rsid w:val="00077B85"/>
    <w:rsid w:val="00080170"/>
    <w:rsid w:val="00080505"/>
    <w:rsid w:val="00080548"/>
    <w:rsid w:val="00080839"/>
    <w:rsid w:val="0008230D"/>
    <w:rsid w:val="000823CE"/>
    <w:rsid w:val="0008313D"/>
    <w:rsid w:val="000837F6"/>
    <w:rsid w:val="00083C31"/>
    <w:rsid w:val="00085BA7"/>
    <w:rsid w:val="00086884"/>
    <w:rsid w:val="00086CEC"/>
    <w:rsid w:val="00086F8D"/>
    <w:rsid w:val="00090C2F"/>
    <w:rsid w:val="00090CBD"/>
    <w:rsid w:val="00091B02"/>
    <w:rsid w:val="00092123"/>
    <w:rsid w:val="00092383"/>
    <w:rsid w:val="00092702"/>
    <w:rsid w:val="00092DFC"/>
    <w:rsid w:val="00092F08"/>
    <w:rsid w:val="00092F36"/>
    <w:rsid w:val="00093865"/>
    <w:rsid w:val="000967BD"/>
    <w:rsid w:val="00096BFC"/>
    <w:rsid w:val="00096C9E"/>
    <w:rsid w:val="00096D07"/>
    <w:rsid w:val="000A08CC"/>
    <w:rsid w:val="000A127F"/>
    <w:rsid w:val="000A1901"/>
    <w:rsid w:val="000A2B11"/>
    <w:rsid w:val="000A2B41"/>
    <w:rsid w:val="000A2C7A"/>
    <w:rsid w:val="000A30CF"/>
    <w:rsid w:val="000A31F5"/>
    <w:rsid w:val="000A3A28"/>
    <w:rsid w:val="000A42F1"/>
    <w:rsid w:val="000A433C"/>
    <w:rsid w:val="000A462E"/>
    <w:rsid w:val="000A495C"/>
    <w:rsid w:val="000A4A93"/>
    <w:rsid w:val="000A56D8"/>
    <w:rsid w:val="000A5D7E"/>
    <w:rsid w:val="000A6763"/>
    <w:rsid w:val="000A6A62"/>
    <w:rsid w:val="000A6AD8"/>
    <w:rsid w:val="000A7A46"/>
    <w:rsid w:val="000B071C"/>
    <w:rsid w:val="000B0B63"/>
    <w:rsid w:val="000B1A05"/>
    <w:rsid w:val="000B2500"/>
    <w:rsid w:val="000B263D"/>
    <w:rsid w:val="000B2B73"/>
    <w:rsid w:val="000B2FBD"/>
    <w:rsid w:val="000B310F"/>
    <w:rsid w:val="000B403A"/>
    <w:rsid w:val="000B43F1"/>
    <w:rsid w:val="000B50AE"/>
    <w:rsid w:val="000B54B3"/>
    <w:rsid w:val="000B54CF"/>
    <w:rsid w:val="000B641A"/>
    <w:rsid w:val="000B6BE0"/>
    <w:rsid w:val="000B6D80"/>
    <w:rsid w:val="000B7311"/>
    <w:rsid w:val="000B7A5C"/>
    <w:rsid w:val="000B7C62"/>
    <w:rsid w:val="000C0813"/>
    <w:rsid w:val="000C15C6"/>
    <w:rsid w:val="000C1F3D"/>
    <w:rsid w:val="000C2B82"/>
    <w:rsid w:val="000C2D67"/>
    <w:rsid w:val="000C2F07"/>
    <w:rsid w:val="000C2F99"/>
    <w:rsid w:val="000C30AD"/>
    <w:rsid w:val="000C3814"/>
    <w:rsid w:val="000C3B26"/>
    <w:rsid w:val="000C3CBB"/>
    <w:rsid w:val="000C4460"/>
    <w:rsid w:val="000C4D6C"/>
    <w:rsid w:val="000C5514"/>
    <w:rsid w:val="000C5CB0"/>
    <w:rsid w:val="000C5EB3"/>
    <w:rsid w:val="000C630D"/>
    <w:rsid w:val="000C68FA"/>
    <w:rsid w:val="000C6BD1"/>
    <w:rsid w:val="000C6D5C"/>
    <w:rsid w:val="000C6FF5"/>
    <w:rsid w:val="000D0CE8"/>
    <w:rsid w:val="000D1568"/>
    <w:rsid w:val="000D314E"/>
    <w:rsid w:val="000D31F6"/>
    <w:rsid w:val="000D4080"/>
    <w:rsid w:val="000D51B5"/>
    <w:rsid w:val="000D6268"/>
    <w:rsid w:val="000E06C4"/>
    <w:rsid w:val="000E0DCE"/>
    <w:rsid w:val="000E1170"/>
    <w:rsid w:val="000E1660"/>
    <w:rsid w:val="000E2A30"/>
    <w:rsid w:val="000E34BA"/>
    <w:rsid w:val="000E3535"/>
    <w:rsid w:val="000E3695"/>
    <w:rsid w:val="000E42AC"/>
    <w:rsid w:val="000E457D"/>
    <w:rsid w:val="000E5604"/>
    <w:rsid w:val="000E5E4A"/>
    <w:rsid w:val="000E5FAB"/>
    <w:rsid w:val="000E6243"/>
    <w:rsid w:val="000E69BA"/>
    <w:rsid w:val="000E772D"/>
    <w:rsid w:val="000E7922"/>
    <w:rsid w:val="000E7D36"/>
    <w:rsid w:val="000F0228"/>
    <w:rsid w:val="000F116A"/>
    <w:rsid w:val="000F26CB"/>
    <w:rsid w:val="000F36A8"/>
    <w:rsid w:val="000F3F20"/>
    <w:rsid w:val="000F48AD"/>
    <w:rsid w:val="000F52E1"/>
    <w:rsid w:val="000F66F9"/>
    <w:rsid w:val="000F6822"/>
    <w:rsid w:val="000F6831"/>
    <w:rsid w:val="000F6CAE"/>
    <w:rsid w:val="000F70C7"/>
    <w:rsid w:val="00100380"/>
    <w:rsid w:val="00100874"/>
    <w:rsid w:val="001014DE"/>
    <w:rsid w:val="0010164A"/>
    <w:rsid w:val="0010178A"/>
    <w:rsid w:val="00101801"/>
    <w:rsid w:val="001019A5"/>
    <w:rsid w:val="00101DAA"/>
    <w:rsid w:val="00102580"/>
    <w:rsid w:val="0010271B"/>
    <w:rsid w:val="001027AD"/>
    <w:rsid w:val="00104109"/>
    <w:rsid w:val="001058AB"/>
    <w:rsid w:val="00105C3A"/>
    <w:rsid w:val="00105ED2"/>
    <w:rsid w:val="00105F07"/>
    <w:rsid w:val="001065AE"/>
    <w:rsid w:val="001067AC"/>
    <w:rsid w:val="00106C89"/>
    <w:rsid w:val="00106E0A"/>
    <w:rsid w:val="00107041"/>
    <w:rsid w:val="00107444"/>
    <w:rsid w:val="001103F9"/>
    <w:rsid w:val="00110699"/>
    <w:rsid w:val="00110857"/>
    <w:rsid w:val="0011087B"/>
    <w:rsid w:val="00110C41"/>
    <w:rsid w:val="00113155"/>
    <w:rsid w:val="00113609"/>
    <w:rsid w:val="0011392E"/>
    <w:rsid w:val="001139D1"/>
    <w:rsid w:val="00113EC7"/>
    <w:rsid w:val="001149CF"/>
    <w:rsid w:val="00114BA6"/>
    <w:rsid w:val="001151A3"/>
    <w:rsid w:val="001161E8"/>
    <w:rsid w:val="00116B2F"/>
    <w:rsid w:val="00116BE3"/>
    <w:rsid w:val="00116CA5"/>
    <w:rsid w:val="001175FA"/>
    <w:rsid w:val="00117C87"/>
    <w:rsid w:val="00117F08"/>
    <w:rsid w:val="001203DA"/>
    <w:rsid w:val="00120764"/>
    <w:rsid w:val="0012101D"/>
    <w:rsid w:val="00121047"/>
    <w:rsid w:val="001213C2"/>
    <w:rsid w:val="00121AE0"/>
    <w:rsid w:val="0012277B"/>
    <w:rsid w:val="00122A14"/>
    <w:rsid w:val="0012364C"/>
    <w:rsid w:val="00125EF3"/>
    <w:rsid w:val="0012642A"/>
    <w:rsid w:val="00126937"/>
    <w:rsid w:val="0012700A"/>
    <w:rsid w:val="001276A5"/>
    <w:rsid w:val="0013071E"/>
    <w:rsid w:val="00131211"/>
    <w:rsid w:val="00131295"/>
    <w:rsid w:val="001316BB"/>
    <w:rsid w:val="001325B9"/>
    <w:rsid w:val="00132935"/>
    <w:rsid w:val="00132A29"/>
    <w:rsid w:val="00132C4A"/>
    <w:rsid w:val="00134994"/>
    <w:rsid w:val="00134B5B"/>
    <w:rsid w:val="00134BB6"/>
    <w:rsid w:val="00135441"/>
    <w:rsid w:val="00135706"/>
    <w:rsid w:val="001360AF"/>
    <w:rsid w:val="00136CCB"/>
    <w:rsid w:val="00137A75"/>
    <w:rsid w:val="00137E52"/>
    <w:rsid w:val="00140102"/>
    <w:rsid w:val="0014080F"/>
    <w:rsid w:val="00140CBA"/>
    <w:rsid w:val="00141252"/>
    <w:rsid w:val="00141388"/>
    <w:rsid w:val="001415AD"/>
    <w:rsid w:val="00141C36"/>
    <w:rsid w:val="001430C0"/>
    <w:rsid w:val="001433E0"/>
    <w:rsid w:val="001439D0"/>
    <w:rsid w:val="00143D63"/>
    <w:rsid w:val="001443EE"/>
    <w:rsid w:val="0014509A"/>
    <w:rsid w:val="00145B2F"/>
    <w:rsid w:val="00146037"/>
    <w:rsid w:val="0014659B"/>
    <w:rsid w:val="00147116"/>
    <w:rsid w:val="00147240"/>
    <w:rsid w:val="00147B2B"/>
    <w:rsid w:val="001500FB"/>
    <w:rsid w:val="0015057E"/>
    <w:rsid w:val="00150847"/>
    <w:rsid w:val="00152710"/>
    <w:rsid w:val="001530F6"/>
    <w:rsid w:val="0015351E"/>
    <w:rsid w:val="00153FE8"/>
    <w:rsid w:val="00154E5C"/>
    <w:rsid w:val="00155170"/>
    <w:rsid w:val="0015578E"/>
    <w:rsid w:val="001563F3"/>
    <w:rsid w:val="00156F7F"/>
    <w:rsid w:val="00157574"/>
    <w:rsid w:val="00157751"/>
    <w:rsid w:val="00157CF0"/>
    <w:rsid w:val="0016092E"/>
    <w:rsid w:val="00161042"/>
    <w:rsid w:val="00161B0A"/>
    <w:rsid w:val="00162472"/>
    <w:rsid w:val="00162561"/>
    <w:rsid w:val="00162A99"/>
    <w:rsid w:val="00163000"/>
    <w:rsid w:val="0016338C"/>
    <w:rsid w:val="00164107"/>
    <w:rsid w:val="0016478D"/>
    <w:rsid w:val="0016482D"/>
    <w:rsid w:val="00164A49"/>
    <w:rsid w:val="001650B0"/>
    <w:rsid w:val="00165B3C"/>
    <w:rsid w:val="001660CC"/>
    <w:rsid w:val="001662B6"/>
    <w:rsid w:val="00166CE4"/>
    <w:rsid w:val="001671D2"/>
    <w:rsid w:val="00167DEE"/>
    <w:rsid w:val="0017054B"/>
    <w:rsid w:val="001708F5"/>
    <w:rsid w:val="00170F4E"/>
    <w:rsid w:val="00172E53"/>
    <w:rsid w:val="0017331C"/>
    <w:rsid w:val="00173BB9"/>
    <w:rsid w:val="00174E61"/>
    <w:rsid w:val="0017505D"/>
    <w:rsid w:val="00177FC6"/>
    <w:rsid w:val="00180EFD"/>
    <w:rsid w:val="001813C8"/>
    <w:rsid w:val="00181ACF"/>
    <w:rsid w:val="00181D84"/>
    <w:rsid w:val="00181EB1"/>
    <w:rsid w:val="00182BFD"/>
    <w:rsid w:val="00183C24"/>
    <w:rsid w:val="00184587"/>
    <w:rsid w:val="00184E7D"/>
    <w:rsid w:val="00184E7F"/>
    <w:rsid w:val="001853FA"/>
    <w:rsid w:val="001862AA"/>
    <w:rsid w:val="001868B9"/>
    <w:rsid w:val="00186958"/>
    <w:rsid w:val="00186B34"/>
    <w:rsid w:val="00186E02"/>
    <w:rsid w:val="00187BE5"/>
    <w:rsid w:val="001903C9"/>
    <w:rsid w:val="00192A23"/>
    <w:rsid w:val="001931BD"/>
    <w:rsid w:val="0019332D"/>
    <w:rsid w:val="00193882"/>
    <w:rsid w:val="001948C8"/>
    <w:rsid w:val="001958E6"/>
    <w:rsid w:val="00195C83"/>
    <w:rsid w:val="00196299"/>
    <w:rsid w:val="00196548"/>
    <w:rsid w:val="00196789"/>
    <w:rsid w:val="00196F86"/>
    <w:rsid w:val="00197E05"/>
    <w:rsid w:val="001A070C"/>
    <w:rsid w:val="001A0AB1"/>
    <w:rsid w:val="001A0AD3"/>
    <w:rsid w:val="001A0E0E"/>
    <w:rsid w:val="001A0F87"/>
    <w:rsid w:val="001A20A3"/>
    <w:rsid w:val="001A2454"/>
    <w:rsid w:val="001A2550"/>
    <w:rsid w:val="001A3AEC"/>
    <w:rsid w:val="001A4328"/>
    <w:rsid w:val="001A45F0"/>
    <w:rsid w:val="001A4695"/>
    <w:rsid w:val="001A4770"/>
    <w:rsid w:val="001A4FA1"/>
    <w:rsid w:val="001A55A9"/>
    <w:rsid w:val="001A700D"/>
    <w:rsid w:val="001A7018"/>
    <w:rsid w:val="001A7769"/>
    <w:rsid w:val="001A7951"/>
    <w:rsid w:val="001A7A79"/>
    <w:rsid w:val="001B13A8"/>
    <w:rsid w:val="001B1799"/>
    <w:rsid w:val="001B1985"/>
    <w:rsid w:val="001B2BA3"/>
    <w:rsid w:val="001B2CE3"/>
    <w:rsid w:val="001B3256"/>
    <w:rsid w:val="001B34A8"/>
    <w:rsid w:val="001B364C"/>
    <w:rsid w:val="001B4431"/>
    <w:rsid w:val="001B4872"/>
    <w:rsid w:val="001B4EF6"/>
    <w:rsid w:val="001B645D"/>
    <w:rsid w:val="001B6BAC"/>
    <w:rsid w:val="001C065D"/>
    <w:rsid w:val="001C080D"/>
    <w:rsid w:val="001C0B59"/>
    <w:rsid w:val="001C14F3"/>
    <w:rsid w:val="001C1AB6"/>
    <w:rsid w:val="001C1CBC"/>
    <w:rsid w:val="001C2624"/>
    <w:rsid w:val="001C3177"/>
    <w:rsid w:val="001C39B2"/>
    <w:rsid w:val="001C3E6D"/>
    <w:rsid w:val="001C3F43"/>
    <w:rsid w:val="001C4407"/>
    <w:rsid w:val="001C4BC7"/>
    <w:rsid w:val="001C58F5"/>
    <w:rsid w:val="001C61DF"/>
    <w:rsid w:val="001C6628"/>
    <w:rsid w:val="001C6D93"/>
    <w:rsid w:val="001C7429"/>
    <w:rsid w:val="001C7940"/>
    <w:rsid w:val="001C7984"/>
    <w:rsid w:val="001C7ACF"/>
    <w:rsid w:val="001D033A"/>
    <w:rsid w:val="001D10E8"/>
    <w:rsid w:val="001D1680"/>
    <w:rsid w:val="001D3127"/>
    <w:rsid w:val="001D3BD1"/>
    <w:rsid w:val="001D4F84"/>
    <w:rsid w:val="001D578D"/>
    <w:rsid w:val="001D68FB"/>
    <w:rsid w:val="001D7421"/>
    <w:rsid w:val="001E052F"/>
    <w:rsid w:val="001E0BD6"/>
    <w:rsid w:val="001E1917"/>
    <w:rsid w:val="001E2D7E"/>
    <w:rsid w:val="001E451E"/>
    <w:rsid w:val="001E5368"/>
    <w:rsid w:val="001E6318"/>
    <w:rsid w:val="001E691C"/>
    <w:rsid w:val="001E6A1D"/>
    <w:rsid w:val="001E6FC6"/>
    <w:rsid w:val="001E7C29"/>
    <w:rsid w:val="001E7CE3"/>
    <w:rsid w:val="001F16A8"/>
    <w:rsid w:val="001F260F"/>
    <w:rsid w:val="001F272F"/>
    <w:rsid w:val="001F2913"/>
    <w:rsid w:val="001F321D"/>
    <w:rsid w:val="001F53C3"/>
    <w:rsid w:val="001F5600"/>
    <w:rsid w:val="001F5955"/>
    <w:rsid w:val="001F5A0B"/>
    <w:rsid w:val="001F5C2D"/>
    <w:rsid w:val="001F5E78"/>
    <w:rsid w:val="001F67E9"/>
    <w:rsid w:val="00200CF5"/>
    <w:rsid w:val="00201259"/>
    <w:rsid w:val="00201EFD"/>
    <w:rsid w:val="00202CBE"/>
    <w:rsid w:val="00203445"/>
    <w:rsid w:val="00204D67"/>
    <w:rsid w:val="00204DAB"/>
    <w:rsid w:val="002050AF"/>
    <w:rsid w:val="002051D1"/>
    <w:rsid w:val="00205B5E"/>
    <w:rsid w:val="0020652D"/>
    <w:rsid w:val="00206D8D"/>
    <w:rsid w:val="00207040"/>
    <w:rsid w:val="002100DD"/>
    <w:rsid w:val="002101C6"/>
    <w:rsid w:val="002107D5"/>
    <w:rsid w:val="00210FC0"/>
    <w:rsid w:val="00211AEC"/>
    <w:rsid w:val="00211F8D"/>
    <w:rsid w:val="00212228"/>
    <w:rsid w:val="00212760"/>
    <w:rsid w:val="00212AE4"/>
    <w:rsid w:val="00212BE8"/>
    <w:rsid w:val="00212E92"/>
    <w:rsid w:val="00213109"/>
    <w:rsid w:val="00213293"/>
    <w:rsid w:val="0021471F"/>
    <w:rsid w:val="00214E23"/>
    <w:rsid w:val="002150B0"/>
    <w:rsid w:val="00215440"/>
    <w:rsid w:val="00215605"/>
    <w:rsid w:val="0021561A"/>
    <w:rsid w:val="0021582A"/>
    <w:rsid w:val="00215941"/>
    <w:rsid w:val="00215ECC"/>
    <w:rsid w:val="002164C6"/>
    <w:rsid w:val="002167A9"/>
    <w:rsid w:val="00216E5D"/>
    <w:rsid w:val="0021705C"/>
    <w:rsid w:val="002170C3"/>
    <w:rsid w:val="00217547"/>
    <w:rsid w:val="00217720"/>
    <w:rsid w:val="00217A91"/>
    <w:rsid w:val="00217C3D"/>
    <w:rsid w:val="002202B9"/>
    <w:rsid w:val="00220B05"/>
    <w:rsid w:val="00221702"/>
    <w:rsid w:val="002228CF"/>
    <w:rsid w:val="00222C82"/>
    <w:rsid w:val="00223B31"/>
    <w:rsid w:val="00224152"/>
    <w:rsid w:val="002242CA"/>
    <w:rsid w:val="00224671"/>
    <w:rsid w:val="0022516B"/>
    <w:rsid w:val="002257B0"/>
    <w:rsid w:val="00225E5B"/>
    <w:rsid w:val="00225EEB"/>
    <w:rsid w:val="00225FED"/>
    <w:rsid w:val="0022665D"/>
    <w:rsid w:val="0022744F"/>
    <w:rsid w:val="00227789"/>
    <w:rsid w:val="00227AD9"/>
    <w:rsid w:val="002303CE"/>
    <w:rsid w:val="0023155F"/>
    <w:rsid w:val="00231C05"/>
    <w:rsid w:val="00233731"/>
    <w:rsid w:val="00233DAA"/>
    <w:rsid w:val="00234D6C"/>
    <w:rsid w:val="0023523B"/>
    <w:rsid w:val="00235368"/>
    <w:rsid w:val="00235AC7"/>
    <w:rsid w:val="00235E2F"/>
    <w:rsid w:val="0023639E"/>
    <w:rsid w:val="002368EB"/>
    <w:rsid w:val="0023696E"/>
    <w:rsid w:val="002374C9"/>
    <w:rsid w:val="00237C58"/>
    <w:rsid w:val="00237DEA"/>
    <w:rsid w:val="002406D1"/>
    <w:rsid w:val="00240723"/>
    <w:rsid w:val="00240EEE"/>
    <w:rsid w:val="0024172D"/>
    <w:rsid w:val="002422B5"/>
    <w:rsid w:val="00242696"/>
    <w:rsid w:val="00242EB1"/>
    <w:rsid w:val="002431A7"/>
    <w:rsid w:val="00243373"/>
    <w:rsid w:val="00243549"/>
    <w:rsid w:val="002437DA"/>
    <w:rsid w:val="00243FAD"/>
    <w:rsid w:val="00245BD2"/>
    <w:rsid w:val="00245DEB"/>
    <w:rsid w:val="0024679E"/>
    <w:rsid w:val="00246A69"/>
    <w:rsid w:val="00246FD9"/>
    <w:rsid w:val="0024774E"/>
    <w:rsid w:val="00247A09"/>
    <w:rsid w:val="00247CD2"/>
    <w:rsid w:val="00247E3F"/>
    <w:rsid w:val="00250D03"/>
    <w:rsid w:val="00251F58"/>
    <w:rsid w:val="002522E4"/>
    <w:rsid w:val="00252310"/>
    <w:rsid w:val="00252DDB"/>
    <w:rsid w:val="002539BB"/>
    <w:rsid w:val="00253B78"/>
    <w:rsid w:val="00253F67"/>
    <w:rsid w:val="002542B9"/>
    <w:rsid w:val="0025464D"/>
    <w:rsid w:val="00254BB3"/>
    <w:rsid w:val="00255011"/>
    <w:rsid w:val="00255104"/>
    <w:rsid w:val="002558B3"/>
    <w:rsid w:val="00255B56"/>
    <w:rsid w:val="00255FE8"/>
    <w:rsid w:val="00256703"/>
    <w:rsid w:val="0025692E"/>
    <w:rsid w:val="00256F2F"/>
    <w:rsid w:val="00257A22"/>
    <w:rsid w:val="00257A55"/>
    <w:rsid w:val="00257AFA"/>
    <w:rsid w:val="002605D5"/>
    <w:rsid w:val="00260C01"/>
    <w:rsid w:val="00260E33"/>
    <w:rsid w:val="00260F94"/>
    <w:rsid w:val="002615F5"/>
    <w:rsid w:val="002616DE"/>
    <w:rsid w:val="00262147"/>
    <w:rsid w:val="002625C3"/>
    <w:rsid w:val="00262C97"/>
    <w:rsid w:val="0026338B"/>
    <w:rsid w:val="00263B0E"/>
    <w:rsid w:val="00263BC5"/>
    <w:rsid w:val="00264559"/>
    <w:rsid w:val="00264EFC"/>
    <w:rsid w:val="002652B5"/>
    <w:rsid w:val="00265A5F"/>
    <w:rsid w:val="00265B24"/>
    <w:rsid w:val="00265C1C"/>
    <w:rsid w:val="002660AC"/>
    <w:rsid w:val="002660AF"/>
    <w:rsid w:val="00266403"/>
    <w:rsid w:val="002670AF"/>
    <w:rsid w:val="0026718B"/>
    <w:rsid w:val="00270725"/>
    <w:rsid w:val="00271A98"/>
    <w:rsid w:val="00271BDC"/>
    <w:rsid w:val="00273B9C"/>
    <w:rsid w:val="00273D9D"/>
    <w:rsid w:val="00273E64"/>
    <w:rsid w:val="00274C78"/>
    <w:rsid w:val="002751DB"/>
    <w:rsid w:val="00275385"/>
    <w:rsid w:val="0027627B"/>
    <w:rsid w:val="00276C83"/>
    <w:rsid w:val="00276D7C"/>
    <w:rsid w:val="00277204"/>
    <w:rsid w:val="002801AC"/>
    <w:rsid w:val="00280C14"/>
    <w:rsid w:val="00280C2C"/>
    <w:rsid w:val="0028208D"/>
    <w:rsid w:val="00282D6D"/>
    <w:rsid w:val="002831F7"/>
    <w:rsid w:val="002832D9"/>
    <w:rsid w:val="002832E0"/>
    <w:rsid w:val="00283695"/>
    <w:rsid w:val="00283783"/>
    <w:rsid w:val="0028411F"/>
    <w:rsid w:val="0028421E"/>
    <w:rsid w:val="00284F48"/>
    <w:rsid w:val="00285314"/>
    <w:rsid w:val="00285593"/>
    <w:rsid w:val="00285869"/>
    <w:rsid w:val="0028590D"/>
    <w:rsid w:val="002859A3"/>
    <w:rsid w:val="00285F07"/>
    <w:rsid w:val="00285F3D"/>
    <w:rsid w:val="00286370"/>
    <w:rsid w:val="0029057E"/>
    <w:rsid w:val="002908EC"/>
    <w:rsid w:val="002908F7"/>
    <w:rsid w:val="00290EDD"/>
    <w:rsid w:val="002910CC"/>
    <w:rsid w:val="0029142E"/>
    <w:rsid w:val="00291BDA"/>
    <w:rsid w:val="0029288C"/>
    <w:rsid w:val="002930A9"/>
    <w:rsid w:val="00293C17"/>
    <w:rsid w:val="00293C7C"/>
    <w:rsid w:val="00294211"/>
    <w:rsid w:val="0029556E"/>
    <w:rsid w:val="002965A0"/>
    <w:rsid w:val="0029731E"/>
    <w:rsid w:val="00297F78"/>
    <w:rsid w:val="002A065F"/>
    <w:rsid w:val="002A06CA"/>
    <w:rsid w:val="002A0BF0"/>
    <w:rsid w:val="002A24F7"/>
    <w:rsid w:val="002A2741"/>
    <w:rsid w:val="002A28BB"/>
    <w:rsid w:val="002A2FC9"/>
    <w:rsid w:val="002A3FB6"/>
    <w:rsid w:val="002A42B7"/>
    <w:rsid w:val="002A4400"/>
    <w:rsid w:val="002A48AD"/>
    <w:rsid w:val="002A522E"/>
    <w:rsid w:val="002A553D"/>
    <w:rsid w:val="002A5AC5"/>
    <w:rsid w:val="002A5B42"/>
    <w:rsid w:val="002A5CC4"/>
    <w:rsid w:val="002A62D8"/>
    <w:rsid w:val="002A637F"/>
    <w:rsid w:val="002A6775"/>
    <w:rsid w:val="002A6D60"/>
    <w:rsid w:val="002A6DDC"/>
    <w:rsid w:val="002A7222"/>
    <w:rsid w:val="002B0249"/>
    <w:rsid w:val="002B07E0"/>
    <w:rsid w:val="002B14E6"/>
    <w:rsid w:val="002B16DC"/>
    <w:rsid w:val="002B1784"/>
    <w:rsid w:val="002B1C3D"/>
    <w:rsid w:val="002B23D4"/>
    <w:rsid w:val="002B2C0B"/>
    <w:rsid w:val="002B45F5"/>
    <w:rsid w:val="002B480A"/>
    <w:rsid w:val="002B5892"/>
    <w:rsid w:val="002B5AEA"/>
    <w:rsid w:val="002B64BA"/>
    <w:rsid w:val="002B67FD"/>
    <w:rsid w:val="002B6CBA"/>
    <w:rsid w:val="002B735C"/>
    <w:rsid w:val="002B7A4A"/>
    <w:rsid w:val="002C0944"/>
    <w:rsid w:val="002C0B18"/>
    <w:rsid w:val="002C1798"/>
    <w:rsid w:val="002C17CE"/>
    <w:rsid w:val="002C217C"/>
    <w:rsid w:val="002C27B1"/>
    <w:rsid w:val="002C365B"/>
    <w:rsid w:val="002C4B70"/>
    <w:rsid w:val="002C5374"/>
    <w:rsid w:val="002C538B"/>
    <w:rsid w:val="002C57AC"/>
    <w:rsid w:val="002C5F16"/>
    <w:rsid w:val="002C69B3"/>
    <w:rsid w:val="002C6C7E"/>
    <w:rsid w:val="002C7A74"/>
    <w:rsid w:val="002C7A8D"/>
    <w:rsid w:val="002C7FB8"/>
    <w:rsid w:val="002D03FC"/>
    <w:rsid w:val="002D0F15"/>
    <w:rsid w:val="002D10C0"/>
    <w:rsid w:val="002D1284"/>
    <w:rsid w:val="002D129D"/>
    <w:rsid w:val="002D1599"/>
    <w:rsid w:val="002D2AB8"/>
    <w:rsid w:val="002D38B7"/>
    <w:rsid w:val="002D402B"/>
    <w:rsid w:val="002D41DB"/>
    <w:rsid w:val="002D4D3D"/>
    <w:rsid w:val="002D4D53"/>
    <w:rsid w:val="002D4DA7"/>
    <w:rsid w:val="002D514D"/>
    <w:rsid w:val="002D584C"/>
    <w:rsid w:val="002D5C3D"/>
    <w:rsid w:val="002D63F4"/>
    <w:rsid w:val="002D655C"/>
    <w:rsid w:val="002D68A4"/>
    <w:rsid w:val="002D747F"/>
    <w:rsid w:val="002E001D"/>
    <w:rsid w:val="002E0D49"/>
    <w:rsid w:val="002E10A0"/>
    <w:rsid w:val="002E12AD"/>
    <w:rsid w:val="002E161A"/>
    <w:rsid w:val="002E1E09"/>
    <w:rsid w:val="002E1F7E"/>
    <w:rsid w:val="002E2620"/>
    <w:rsid w:val="002E40BF"/>
    <w:rsid w:val="002E4326"/>
    <w:rsid w:val="002E4434"/>
    <w:rsid w:val="002E47A1"/>
    <w:rsid w:val="002E4C59"/>
    <w:rsid w:val="002E4D1B"/>
    <w:rsid w:val="002E5309"/>
    <w:rsid w:val="002E5773"/>
    <w:rsid w:val="002E60F1"/>
    <w:rsid w:val="002E6636"/>
    <w:rsid w:val="002E66DD"/>
    <w:rsid w:val="002E6C11"/>
    <w:rsid w:val="002E7013"/>
    <w:rsid w:val="002E76A9"/>
    <w:rsid w:val="002E78CE"/>
    <w:rsid w:val="002E7ADD"/>
    <w:rsid w:val="002F01A8"/>
    <w:rsid w:val="002F0AF5"/>
    <w:rsid w:val="002F30EA"/>
    <w:rsid w:val="002F32C4"/>
    <w:rsid w:val="002F495E"/>
    <w:rsid w:val="002F4E82"/>
    <w:rsid w:val="002F5467"/>
    <w:rsid w:val="002F56DE"/>
    <w:rsid w:val="002F58B0"/>
    <w:rsid w:val="002F6623"/>
    <w:rsid w:val="002F6637"/>
    <w:rsid w:val="002F712E"/>
    <w:rsid w:val="002F7F2E"/>
    <w:rsid w:val="002F7FB3"/>
    <w:rsid w:val="0030005A"/>
    <w:rsid w:val="00300270"/>
    <w:rsid w:val="003006BB"/>
    <w:rsid w:val="00300745"/>
    <w:rsid w:val="003009C8"/>
    <w:rsid w:val="003015E8"/>
    <w:rsid w:val="00302F87"/>
    <w:rsid w:val="0030519A"/>
    <w:rsid w:val="0030609B"/>
    <w:rsid w:val="0030788F"/>
    <w:rsid w:val="00310183"/>
    <w:rsid w:val="003107B7"/>
    <w:rsid w:val="00310C2F"/>
    <w:rsid w:val="00311DC6"/>
    <w:rsid w:val="00311DF2"/>
    <w:rsid w:val="0031396F"/>
    <w:rsid w:val="00314FFF"/>
    <w:rsid w:val="0031535F"/>
    <w:rsid w:val="0031540D"/>
    <w:rsid w:val="00315483"/>
    <w:rsid w:val="00315643"/>
    <w:rsid w:val="00316818"/>
    <w:rsid w:val="0031723B"/>
    <w:rsid w:val="0031731D"/>
    <w:rsid w:val="0032000E"/>
    <w:rsid w:val="003201B4"/>
    <w:rsid w:val="0032132F"/>
    <w:rsid w:val="00321D23"/>
    <w:rsid w:val="003224CB"/>
    <w:rsid w:val="00322676"/>
    <w:rsid w:val="0032270C"/>
    <w:rsid w:val="003229DD"/>
    <w:rsid w:val="00322AEF"/>
    <w:rsid w:val="00323631"/>
    <w:rsid w:val="00323710"/>
    <w:rsid w:val="00323BC5"/>
    <w:rsid w:val="00323DEB"/>
    <w:rsid w:val="00324672"/>
    <w:rsid w:val="00324C15"/>
    <w:rsid w:val="003254CC"/>
    <w:rsid w:val="003257B6"/>
    <w:rsid w:val="0032585A"/>
    <w:rsid w:val="00325E7F"/>
    <w:rsid w:val="003263C6"/>
    <w:rsid w:val="00326F9C"/>
    <w:rsid w:val="00327656"/>
    <w:rsid w:val="00330862"/>
    <w:rsid w:val="003308B7"/>
    <w:rsid w:val="00331862"/>
    <w:rsid w:val="00331BD1"/>
    <w:rsid w:val="00332F09"/>
    <w:rsid w:val="003331CE"/>
    <w:rsid w:val="003333B9"/>
    <w:rsid w:val="00333ACD"/>
    <w:rsid w:val="00333E8F"/>
    <w:rsid w:val="00334720"/>
    <w:rsid w:val="00334A56"/>
    <w:rsid w:val="003357C4"/>
    <w:rsid w:val="00335B65"/>
    <w:rsid w:val="003366AE"/>
    <w:rsid w:val="00337C6A"/>
    <w:rsid w:val="00341BB9"/>
    <w:rsid w:val="00342605"/>
    <w:rsid w:val="00342C27"/>
    <w:rsid w:val="00342FD9"/>
    <w:rsid w:val="003431AB"/>
    <w:rsid w:val="00344956"/>
    <w:rsid w:val="00345020"/>
    <w:rsid w:val="003456AE"/>
    <w:rsid w:val="003466C8"/>
    <w:rsid w:val="003479ED"/>
    <w:rsid w:val="00347EC1"/>
    <w:rsid w:val="00347F42"/>
    <w:rsid w:val="0035188E"/>
    <w:rsid w:val="00351C00"/>
    <w:rsid w:val="00351CE3"/>
    <w:rsid w:val="003527AF"/>
    <w:rsid w:val="00352CD6"/>
    <w:rsid w:val="00352E96"/>
    <w:rsid w:val="003532B0"/>
    <w:rsid w:val="0035348D"/>
    <w:rsid w:val="00353AEC"/>
    <w:rsid w:val="00353E4C"/>
    <w:rsid w:val="00354A1B"/>
    <w:rsid w:val="003551D4"/>
    <w:rsid w:val="003554FD"/>
    <w:rsid w:val="0035560F"/>
    <w:rsid w:val="00356145"/>
    <w:rsid w:val="00356674"/>
    <w:rsid w:val="003567C9"/>
    <w:rsid w:val="00356EE9"/>
    <w:rsid w:val="00357622"/>
    <w:rsid w:val="003578AF"/>
    <w:rsid w:val="00357B7A"/>
    <w:rsid w:val="0036035E"/>
    <w:rsid w:val="003611AD"/>
    <w:rsid w:val="0036175E"/>
    <w:rsid w:val="003630F1"/>
    <w:rsid w:val="003634B5"/>
    <w:rsid w:val="003639F8"/>
    <w:rsid w:val="00363BF1"/>
    <w:rsid w:val="0036454C"/>
    <w:rsid w:val="003648E9"/>
    <w:rsid w:val="00364998"/>
    <w:rsid w:val="00364F54"/>
    <w:rsid w:val="003651F7"/>
    <w:rsid w:val="00367725"/>
    <w:rsid w:val="00367F9C"/>
    <w:rsid w:val="00370002"/>
    <w:rsid w:val="00370674"/>
    <w:rsid w:val="003709EB"/>
    <w:rsid w:val="00371418"/>
    <w:rsid w:val="0037163A"/>
    <w:rsid w:val="00371BEE"/>
    <w:rsid w:val="003728B7"/>
    <w:rsid w:val="00372D77"/>
    <w:rsid w:val="00373550"/>
    <w:rsid w:val="003746DA"/>
    <w:rsid w:val="00374EC5"/>
    <w:rsid w:val="003767A1"/>
    <w:rsid w:val="00376B95"/>
    <w:rsid w:val="003773B2"/>
    <w:rsid w:val="00380196"/>
    <w:rsid w:val="003803A3"/>
    <w:rsid w:val="00380642"/>
    <w:rsid w:val="0038075B"/>
    <w:rsid w:val="00380A04"/>
    <w:rsid w:val="003812F6"/>
    <w:rsid w:val="00381B26"/>
    <w:rsid w:val="00382A19"/>
    <w:rsid w:val="00382E3F"/>
    <w:rsid w:val="00382FD4"/>
    <w:rsid w:val="003831B4"/>
    <w:rsid w:val="00383F70"/>
    <w:rsid w:val="00383FFB"/>
    <w:rsid w:val="00384BFF"/>
    <w:rsid w:val="00385068"/>
    <w:rsid w:val="00385786"/>
    <w:rsid w:val="003857F7"/>
    <w:rsid w:val="0038653C"/>
    <w:rsid w:val="00386A8F"/>
    <w:rsid w:val="00386C13"/>
    <w:rsid w:val="003876D2"/>
    <w:rsid w:val="00390107"/>
    <w:rsid w:val="0039058E"/>
    <w:rsid w:val="00390756"/>
    <w:rsid w:val="0039081E"/>
    <w:rsid w:val="00390B82"/>
    <w:rsid w:val="003914DC"/>
    <w:rsid w:val="00391A7D"/>
    <w:rsid w:val="00391B15"/>
    <w:rsid w:val="00392067"/>
    <w:rsid w:val="0039263F"/>
    <w:rsid w:val="0039273E"/>
    <w:rsid w:val="0039283A"/>
    <w:rsid w:val="003928EC"/>
    <w:rsid w:val="003934E9"/>
    <w:rsid w:val="00393DCF"/>
    <w:rsid w:val="0039437F"/>
    <w:rsid w:val="003944F4"/>
    <w:rsid w:val="00394987"/>
    <w:rsid w:val="00394C99"/>
    <w:rsid w:val="0039514D"/>
    <w:rsid w:val="00395188"/>
    <w:rsid w:val="00395737"/>
    <w:rsid w:val="00396235"/>
    <w:rsid w:val="00397F03"/>
    <w:rsid w:val="003A112E"/>
    <w:rsid w:val="003A14E1"/>
    <w:rsid w:val="003A15C0"/>
    <w:rsid w:val="003A1707"/>
    <w:rsid w:val="003A1AB4"/>
    <w:rsid w:val="003A21A4"/>
    <w:rsid w:val="003A444B"/>
    <w:rsid w:val="003A448D"/>
    <w:rsid w:val="003A49D1"/>
    <w:rsid w:val="003A5DA8"/>
    <w:rsid w:val="003A6FF8"/>
    <w:rsid w:val="003A709F"/>
    <w:rsid w:val="003A7F5E"/>
    <w:rsid w:val="003B0E9D"/>
    <w:rsid w:val="003B18C4"/>
    <w:rsid w:val="003B3688"/>
    <w:rsid w:val="003B3B78"/>
    <w:rsid w:val="003B5EDE"/>
    <w:rsid w:val="003B5F4F"/>
    <w:rsid w:val="003B64B2"/>
    <w:rsid w:val="003B65D1"/>
    <w:rsid w:val="003B7128"/>
    <w:rsid w:val="003B7458"/>
    <w:rsid w:val="003C02AD"/>
    <w:rsid w:val="003C02C7"/>
    <w:rsid w:val="003C198A"/>
    <w:rsid w:val="003C1F22"/>
    <w:rsid w:val="003C2A48"/>
    <w:rsid w:val="003C2B5B"/>
    <w:rsid w:val="003C2F5D"/>
    <w:rsid w:val="003C38DB"/>
    <w:rsid w:val="003C4A50"/>
    <w:rsid w:val="003C4EE3"/>
    <w:rsid w:val="003C52BD"/>
    <w:rsid w:val="003C52DB"/>
    <w:rsid w:val="003D0016"/>
    <w:rsid w:val="003D0026"/>
    <w:rsid w:val="003D0799"/>
    <w:rsid w:val="003D0DC0"/>
    <w:rsid w:val="003D147B"/>
    <w:rsid w:val="003D1CBB"/>
    <w:rsid w:val="003D1D5E"/>
    <w:rsid w:val="003D225A"/>
    <w:rsid w:val="003D2361"/>
    <w:rsid w:val="003D2450"/>
    <w:rsid w:val="003D284D"/>
    <w:rsid w:val="003D2F62"/>
    <w:rsid w:val="003D3C86"/>
    <w:rsid w:val="003D3E46"/>
    <w:rsid w:val="003D4D8A"/>
    <w:rsid w:val="003D54F7"/>
    <w:rsid w:val="003D55F3"/>
    <w:rsid w:val="003D5786"/>
    <w:rsid w:val="003D5AF5"/>
    <w:rsid w:val="003D626A"/>
    <w:rsid w:val="003D64DB"/>
    <w:rsid w:val="003D6DCA"/>
    <w:rsid w:val="003D71CA"/>
    <w:rsid w:val="003D74EF"/>
    <w:rsid w:val="003D766C"/>
    <w:rsid w:val="003E01A7"/>
    <w:rsid w:val="003E0447"/>
    <w:rsid w:val="003E056E"/>
    <w:rsid w:val="003E07C5"/>
    <w:rsid w:val="003E08B7"/>
    <w:rsid w:val="003E11C7"/>
    <w:rsid w:val="003E1997"/>
    <w:rsid w:val="003E21C6"/>
    <w:rsid w:val="003E25B8"/>
    <w:rsid w:val="003E2AEA"/>
    <w:rsid w:val="003E2CD6"/>
    <w:rsid w:val="003E2D3E"/>
    <w:rsid w:val="003E3242"/>
    <w:rsid w:val="003E3373"/>
    <w:rsid w:val="003E431E"/>
    <w:rsid w:val="003E4E02"/>
    <w:rsid w:val="003E4E0D"/>
    <w:rsid w:val="003E526E"/>
    <w:rsid w:val="003E6D0A"/>
    <w:rsid w:val="003E7369"/>
    <w:rsid w:val="003E75BA"/>
    <w:rsid w:val="003E7907"/>
    <w:rsid w:val="003E7AF0"/>
    <w:rsid w:val="003F0594"/>
    <w:rsid w:val="003F0A59"/>
    <w:rsid w:val="003F0C50"/>
    <w:rsid w:val="003F1453"/>
    <w:rsid w:val="003F26D9"/>
    <w:rsid w:val="003F2F74"/>
    <w:rsid w:val="003F33FB"/>
    <w:rsid w:val="003F463A"/>
    <w:rsid w:val="003F4E79"/>
    <w:rsid w:val="003F515A"/>
    <w:rsid w:val="003F5ABD"/>
    <w:rsid w:val="003F5CAF"/>
    <w:rsid w:val="003F6E2B"/>
    <w:rsid w:val="004009E8"/>
    <w:rsid w:val="004019A9"/>
    <w:rsid w:val="00401FC9"/>
    <w:rsid w:val="00402254"/>
    <w:rsid w:val="004029F9"/>
    <w:rsid w:val="004038BA"/>
    <w:rsid w:val="00404BB4"/>
    <w:rsid w:val="00404F17"/>
    <w:rsid w:val="0040659B"/>
    <w:rsid w:val="00406621"/>
    <w:rsid w:val="004067D3"/>
    <w:rsid w:val="0040713B"/>
    <w:rsid w:val="004073BD"/>
    <w:rsid w:val="00407951"/>
    <w:rsid w:val="00410205"/>
    <w:rsid w:val="00410903"/>
    <w:rsid w:val="00410B25"/>
    <w:rsid w:val="00411BF8"/>
    <w:rsid w:val="00412EA4"/>
    <w:rsid w:val="0041478F"/>
    <w:rsid w:val="00414ED0"/>
    <w:rsid w:val="0041525A"/>
    <w:rsid w:val="00416FE7"/>
    <w:rsid w:val="00420308"/>
    <w:rsid w:val="00420DC5"/>
    <w:rsid w:val="00420EEC"/>
    <w:rsid w:val="004214EE"/>
    <w:rsid w:val="00421543"/>
    <w:rsid w:val="004217B7"/>
    <w:rsid w:val="00421AD2"/>
    <w:rsid w:val="0042229F"/>
    <w:rsid w:val="004237F7"/>
    <w:rsid w:val="004239A5"/>
    <w:rsid w:val="004239B4"/>
    <w:rsid w:val="00423E19"/>
    <w:rsid w:val="0042463B"/>
    <w:rsid w:val="00424E57"/>
    <w:rsid w:val="00424F49"/>
    <w:rsid w:val="00425502"/>
    <w:rsid w:val="00425601"/>
    <w:rsid w:val="00425A4F"/>
    <w:rsid w:val="00425BA0"/>
    <w:rsid w:val="00425CCF"/>
    <w:rsid w:val="004263CE"/>
    <w:rsid w:val="004266D8"/>
    <w:rsid w:val="00426788"/>
    <w:rsid w:val="004272FC"/>
    <w:rsid w:val="00427519"/>
    <w:rsid w:val="004317B8"/>
    <w:rsid w:val="00431F2B"/>
    <w:rsid w:val="00432413"/>
    <w:rsid w:val="0043393B"/>
    <w:rsid w:val="004346D5"/>
    <w:rsid w:val="00434DA3"/>
    <w:rsid w:val="00436283"/>
    <w:rsid w:val="0043637D"/>
    <w:rsid w:val="004364D3"/>
    <w:rsid w:val="0043688C"/>
    <w:rsid w:val="00437586"/>
    <w:rsid w:val="00437B26"/>
    <w:rsid w:val="00437E41"/>
    <w:rsid w:val="004404ED"/>
    <w:rsid w:val="00440BE8"/>
    <w:rsid w:val="00440D06"/>
    <w:rsid w:val="00440D11"/>
    <w:rsid w:val="00440F0F"/>
    <w:rsid w:val="00441E22"/>
    <w:rsid w:val="004425C7"/>
    <w:rsid w:val="00443779"/>
    <w:rsid w:val="0044402E"/>
    <w:rsid w:val="00445993"/>
    <w:rsid w:val="00445CC2"/>
    <w:rsid w:val="0044666D"/>
    <w:rsid w:val="004467AD"/>
    <w:rsid w:val="0044696B"/>
    <w:rsid w:val="004503C3"/>
    <w:rsid w:val="004511FC"/>
    <w:rsid w:val="00452B76"/>
    <w:rsid w:val="00453366"/>
    <w:rsid w:val="00453AE1"/>
    <w:rsid w:val="00453C71"/>
    <w:rsid w:val="00454039"/>
    <w:rsid w:val="004546ED"/>
    <w:rsid w:val="00457062"/>
    <w:rsid w:val="004574E4"/>
    <w:rsid w:val="00457DEF"/>
    <w:rsid w:val="00460A79"/>
    <w:rsid w:val="004611E7"/>
    <w:rsid w:val="00461B3D"/>
    <w:rsid w:val="00461B56"/>
    <w:rsid w:val="00461BF7"/>
    <w:rsid w:val="00461D1A"/>
    <w:rsid w:val="00462645"/>
    <w:rsid w:val="004627DE"/>
    <w:rsid w:val="004628E5"/>
    <w:rsid w:val="0046297E"/>
    <w:rsid w:val="00462B41"/>
    <w:rsid w:val="00462B78"/>
    <w:rsid w:val="00463477"/>
    <w:rsid w:val="00463696"/>
    <w:rsid w:val="0046386B"/>
    <w:rsid w:val="00464AF6"/>
    <w:rsid w:val="004653D6"/>
    <w:rsid w:val="00465528"/>
    <w:rsid w:val="00465690"/>
    <w:rsid w:val="00465D81"/>
    <w:rsid w:val="00466540"/>
    <w:rsid w:val="004667FD"/>
    <w:rsid w:val="00466D35"/>
    <w:rsid w:val="004674FC"/>
    <w:rsid w:val="00467659"/>
    <w:rsid w:val="00467D62"/>
    <w:rsid w:val="00467F74"/>
    <w:rsid w:val="00470497"/>
    <w:rsid w:val="00471158"/>
    <w:rsid w:val="00471985"/>
    <w:rsid w:val="00471AF4"/>
    <w:rsid w:val="004728EE"/>
    <w:rsid w:val="00472A26"/>
    <w:rsid w:val="00472B09"/>
    <w:rsid w:val="00472B95"/>
    <w:rsid w:val="00472C08"/>
    <w:rsid w:val="00474512"/>
    <w:rsid w:val="0047468D"/>
    <w:rsid w:val="00475274"/>
    <w:rsid w:val="0047568A"/>
    <w:rsid w:val="004760B6"/>
    <w:rsid w:val="004769E6"/>
    <w:rsid w:val="00476C5F"/>
    <w:rsid w:val="00476DC1"/>
    <w:rsid w:val="00476E69"/>
    <w:rsid w:val="00476F7A"/>
    <w:rsid w:val="0048072C"/>
    <w:rsid w:val="0048081B"/>
    <w:rsid w:val="004809D3"/>
    <w:rsid w:val="00481007"/>
    <w:rsid w:val="00481185"/>
    <w:rsid w:val="004818D0"/>
    <w:rsid w:val="00483080"/>
    <w:rsid w:val="00483304"/>
    <w:rsid w:val="00484135"/>
    <w:rsid w:val="00484472"/>
    <w:rsid w:val="004847FC"/>
    <w:rsid w:val="004849B2"/>
    <w:rsid w:val="00484F3D"/>
    <w:rsid w:val="00485090"/>
    <w:rsid w:val="00485206"/>
    <w:rsid w:val="0048595F"/>
    <w:rsid w:val="00485A28"/>
    <w:rsid w:val="00485CAB"/>
    <w:rsid w:val="0048775C"/>
    <w:rsid w:val="00487C15"/>
    <w:rsid w:val="00487FEA"/>
    <w:rsid w:val="00490900"/>
    <w:rsid w:val="004917B9"/>
    <w:rsid w:val="00491AB5"/>
    <w:rsid w:val="00491B40"/>
    <w:rsid w:val="00491DBD"/>
    <w:rsid w:val="0049282C"/>
    <w:rsid w:val="00492F6B"/>
    <w:rsid w:val="004936EC"/>
    <w:rsid w:val="004939B5"/>
    <w:rsid w:val="00493ABC"/>
    <w:rsid w:val="00493AD9"/>
    <w:rsid w:val="00493FC9"/>
    <w:rsid w:val="00494878"/>
    <w:rsid w:val="0049505D"/>
    <w:rsid w:val="004951AD"/>
    <w:rsid w:val="004958C7"/>
    <w:rsid w:val="004962D2"/>
    <w:rsid w:val="004962E2"/>
    <w:rsid w:val="004970ED"/>
    <w:rsid w:val="00497BBD"/>
    <w:rsid w:val="004A0247"/>
    <w:rsid w:val="004A0907"/>
    <w:rsid w:val="004A0BC7"/>
    <w:rsid w:val="004A0C4A"/>
    <w:rsid w:val="004A0FA5"/>
    <w:rsid w:val="004A17D4"/>
    <w:rsid w:val="004A1FD0"/>
    <w:rsid w:val="004A211E"/>
    <w:rsid w:val="004A2419"/>
    <w:rsid w:val="004A2D41"/>
    <w:rsid w:val="004A3C1F"/>
    <w:rsid w:val="004A3C41"/>
    <w:rsid w:val="004A43C9"/>
    <w:rsid w:val="004A5259"/>
    <w:rsid w:val="004A7406"/>
    <w:rsid w:val="004A766C"/>
    <w:rsid w:val="004A79BC"/>
    <w:rsid w:val="004B06AE"/>
    <w:rsid w:val="004B0EEA"/>
    <w:rsid w:val="004B109F"/>
    <w:rsid w:val="004B1188"/>
    <w:rsid w:val="004B13D3"/>
    <w:rsid w:val="004B2BD2"/>
    <w:rsid w:val="004B3585"/>
    <w:rsid w:val="004B35FE"/>
    <w:rsid w:val="004B45DF"/>
    <w:rsid w:val="004B49D3"/>
    <w:rsid w:val="004B5484"/>
    <w:rsid w:val="004B5F90"/>
    <w:rsid w:val="004B5F92"/>
    <w:rsid w:val="004B77D4"/>
    <w:rsid w:val="004C017F"/>
    <w:rsid w:val="004C0765"/>
    <w:rsid w:val="004C080D"/>
    <w:rsid w:val="004C09F6"/>
    <w:rsid w:val="004C10D6"/>
    <w:rsid w:val="004C1211"/>
    <w:rsid w:val="004C1393"/>
    <w:rsid w:val="004C15D7"/>
    <w:rsid w:val="004C226C"/>
    <w:rsid w:val="004C22FF"/>
    <w:rsid w:val="004C3A95"/>
    <w:rsid w:val="004C3E8B"/>
    <w:rsid w:val="004C4D75"/>
    <w:rsid w:val="004C5717"/>
    <w:rsid w:val="004C6084"/>
    <w:rsid w:val="004C671E"/>
    <w:rsid w:val="004C6AA0"/>
    <w:rsid w:val="004C7069"/>
    <w:rsid w:val="004C711F"/>
    <w:rsid w:val="004D039F"/>
    <w:rsid w:val="004D04F1"/>
    <w:rsid w:val="004D06E8"/>
    <w:rsid w:val="004D0EA8"/>
    <w:rsid w:val="004D1177"/>
    <w:rsid w:val="004D186C"/>
    <w:rsid w:val="004D19E3"/>
    <w:rsid w:val="004D1EB8"/>
    <w:rsid w:val="004D2623"/>
    <w:rsid w:val="004D2913"/>
    <w:rsid w:val="004D2F0E"/>
    <w:rsid w:val="004D3223"/>
    <w:rsid w:val="004D36AD"/>
    <w:rsid w:val="004D39B5"/>
    <w:rsid w:val="004D3A5E"/>
    <w:rsid w:val="004D3EDC"/>
    <w:rsid w:val="004D43CC"/>
    <w:rsid w:val="004D4D83"/>
    <w:rsid w:val="004D512A"/>
    <w:rsid w:val="004D5307"/>
    <w:rsid w:val="004D686C"/>
    <w:rsid w:val="004D6EB0"/>
    <w:rsid w:val="004D73E5"/>
    <w:rsid w:val="004D76F7"/>
    <w:rsid w:val="004E0EEE"/>
    <w:rsid w:val="004E1656"/>
    <w:rsid w:val="004E1A19"/>
    <w:rsid w:val="004E1EFF"/>
    <w:rsid w:val="004E2748"/>
    <w:rsid w:val="004E287B"/>
    <w:rsid w:val="004E2A22"/>
    <w:rsid w:val="004E2A52"/>
    <w:rsid w:val="004E3347"/>
    <w:rsid w:val="004E3AEA"/>
    <w:rsid w:val="004E4592"/>
    <w:rsid w:val="004E48E2"/>
    <w:rsid w:val="004E5014"/>
    <w:rsid w:val="004E585C"/>
    <w:rsid w:val="004E58D4"/>
    <w:rsid w:val="004F00F9"/>
    <w:rsid w:val="004F08C9"/>
    <w:rsid w:val="004F14BC"/>
    <w:rsid w:val="004F1503"/>
    <w:rsid w:val="004F1835"/>
    <w:rsid w:val="004F1ECA"/>
    <w:rsid w:val="004F216D"/>
    <w:rsid w:val="004F2BCE"/>
    <w:rsid w:val="004F2C09"/>
    <w:rsid w:val="004F3585"/>
    <w:rsid w:val="004F3F3E"/>
    <w:rsid w:val="004F508C"/>
    <w:rsid w:val="004F5CAA"/>
    <w:rsid w:val="004F5F8B"/>
    <w:rsid w:val="004F67C5"/>
    <w:rsid w:val="004F694C"/>
    <w:rsid w:val="004F79A7"/>
    <w:rsid w:val="004F7E66"/>
    <w:rsid w:val="00500ECA"/>
    <w:rsid w:val="00501311"/>
    <w:rsid w:val="005017D0"/>
    <w:rsid w:val="00501821"/>
    <w:rsid w:val="00502AA8"/>
    <w:rsid w:val="00503CBC"/>
    <w:rsid w:val="00504DC6"/>
    <w:rsid w:val="00504FDA"/>
    <w:rsid w:val="005054D4"/>
    <w:rsid w:val="00505860"/>
    <w:rsid w:val="00505DEB"/>
    <w:rsid w:val="00506B88"/>
    <w:rsid w:val="00506E5E"/>
    <w:rsid w:val="005071BA"/>
    <w:rsid w:val="00507469"/>
    <w:rsid w:val="00507736"/>
    <w:rsid w:val="0050779D"/>
    <w:rsid w:val="00510A06"/>
    <w:rsid w:val="00510A20"/>
    <w:rsid w:val="00510AD5"/>
    <w:rsid w:val="00510D50"/>
    <w:rsid w:val="005111B9"/>
    <w:rsid w:val="00511923"/>
    <w:rsid w:val="00512493"/>
    <w:rsid w:val="005137D2"/>
    <w:rsid w:val="005145F7"/>
    <w:rsid w:val="005147CE"/>
    <w:rsid w:val="005155EA"/>
    <w:rsid w:val="0051586C"/>
    <w:rsid w:val="00516792"/>
    <w:rsid w:val="00516AB2"/>
    <w:rsid w:val="00516C75"/>
    <w:rsid w:val="0051737B"/>
    <w:rsid w:val="00517A63"/>
    <w:rsid w:val="005201B3"/>
    <w:rsid w:val="00520321"/>
    <w:rsid w:val="0052097C"/>
    <w:rsid w:val="0052142D"/>
    <w:rsid w:val="00521615"/>
    <w:rsid w:val="00521AE0"/>
    <w:rsid w:val="00522BAC"/>
    <w:rsid w:val="00522EFA"/>
    <w:rsid w:val="00522F97"/>
    <w:rsid w:val="0052379C"/>
    <w:rsid w:val="005242FA"/>
    <w:rsid w:val="00524333"/>
    <w:rsid w:val="00524368"/>
    <w:rsid w:val="00524372"/>
    <w:rsid w:val="0052470C"/>
    <w:rsid w:val="00524C7F"/>
    <w:rsid w:val="00524E9B"/>
    <w:rsid w:val="00524F54"/>
    <w:rsid w:val="005261C3"/>
    <w:rsid w:val="00526795"/>
    <w:rsid w:val="00526BE7"/>
    <w:rsid w:val="00526C66"/>
    <w:rsid w:val="00526DCD"/>
    <w:rsid w:val="00527DDD"/>
    <w:rsid w:val="00530461"/>
    <w:rsid w:val="00530501"/>
    <w:rsid w:val="00530872"/>
    <w:rsid w:val="00531C68"/>
    <w:rsid w:val="00531C82"/>
    <w:rsid w:val="00531F59"/>
    <w:rsid w:val="00532139"/>
    <w:rsid w:val="00532274"/>
    <w:rsid w:val="00533204"/>
    <w:rsid w:val="00535033"/>
    <w:rsid w:val="00535A03"/>
    <w:rsid w:val="00536A08"/>
    <w:rsid w:val="00537DAD"/>
    <w:rsid w:val="00541BBD"/>
    <w:rsid w:val="005420FF"/>
    <w:rsid w:val="00542ABA"/>
    <w:rsid w:val="00543061"/>
    <w:rsid w:val="005435CC"/>
    <w:rsid w:val="00543D7A"/>
    <w:rsid w:val="00544858"/>
    <w:rsid w:val="00544F55"/>
    <w:rsid w:val="005466B7"/>
    <w:rsid w:val="00546C74"/>
    <w:rsid w:val="0054756E"/>
    <w:rsid w:val="00547694"/>
    <w:rsid w:val="00547F2B"/>
    <w:rsid w:val="005505C3"/>
    <w:rsid w:val="005517AC"/>
    <w:rsid w:val="00551AB0"/>
    <w:rsid w:val="00551C39"/>
    <w:rsid w:val="005520AA"/>
    <w:rsid w:val="005528DC"/>
    <w:rsid w:val="00552F87"/>
    <w:rsid w:val="005536DA"/>
    <w:rsid w:val="00554508"/>
    <w:rsid w:val="00554704"/>
    <w:rsid w:val="0055486A"/>
    <w:rsid w:val="00554F15"/>
    <w:rsid w:val="00555001"/>
    <w:rsid w:val="00555AB4"/>
    <w:rsid w:val="00556403"/>
    <w:rsid w:val="005570DE"/>
    <w:rsid w:val="005576A0"/>
    <w:rsid w:val="00557896"/>
    <w:rsid w:val="00560832"/>
    <w:rsid w:val="005619DD"/>
    <w:rsid w:val="00561A5D"/>
    <w:rsid w:val="00561DC2"/>
    <w:rsid w:val="005623BC"/>
    <w:rsid w:val="00562AC5"/>
    <w:rsid w:val="00562F5B"/>
    <w:rsid w:val="00563D56"/>
    <w:rsid w:val="00563D66"/>
    <w:rsid w:val="00564BCF"/>
    <w:rsid w:val="0056501E"/>
    <w:rsid w:val="005650D1"/>
    <w:rsid w:val="00565BA9"/>
    <w:rsid w:val="00565F85"/>
    <w:rsid w:val="00566BCA"/>
    <w:rsid w:val="00566FF6"/>
    <w:rsid w:val="005675BA"/>
    <w:rsid w:val="00567D42"/>
    <w:rsid w:val="00570BEC"/>
    <w:rsid w:val="00570DF6"/>
    <w:rsid w:val="00570FE5"/>
    <w:rsid w:val="005710E9"/>
    <w:rsid w:val="005722BD"/>
    <w:rsid w:val="00572E0A"/>
    <w:rsid w:val="00573436"/>
    <w:rsid w:val="00573B88"/>
    <w:rsid w:val="005746D4"/>
    <w:rsid w:val="005746FF"/>
    <w:rsid w:val="00574BEA"/>
    <w:rsid w:val="005757AA"/>
    <w:rsid w:val="00575ED5"/>
    <w:rsid w:val="00576546"/>
    <w:rsid w:val="00577349"/>
    <w:rsid w:val="00580AC1"/>
    <w:rsid w:val="00581497"/>
    <w:rsid w:val="00581A88"/>
    <w:rsid w:val="00581E00"/>
    <w:rsid w:val="00581ECF"/>
    <w:rsid w:val="00582649"/>
    <w:rsid w:val="0058264A"/>
    <w:rsid w:val="00583A9F"/>
    <w:rsid w:val="00584361"/>
    <w:rsid w:val="005844D2"/>
    <w:rsid w:val="00585624"/>
    <w:rsid w:val="00585823"/>
    <w:rsid w:val="00585CCA"/>
    <w:rsid w:val="00585D68"/>
    <w:rsid w:val="00585EF1"/>
    <w:rsid w:val="005860F7"/>
    <w:rsid w:val="00586933"/>
    <w:rsid w:val="00587810"/>
    <w:rsid w:val="00587B59"/>
    <w:rsid w:val="00587BCE"/>
    <w:rsid w:val="005906AA"/>
    <w:rsid w:val="00591181"/>
    <w:rsid w:val="0059230B"/>
    <w:rsid w:val="005923C2"/>
    <w:rsid w:val="00592676"/>
    <w:rsid w:val="00592689"/>
    <w:rsid w:val="00592C85"/>
    <w:rsid w:val="00593E7E"/>
    <w:rsid w:val="0059519E"/>
    <w:rsid w:val="0059527A"/>
    <w:rsid w:val="005968E0"/>
    <w:rsid w:val="005969A5"/>
    <w:rsid w:val="005974FA"/>
    <w:rsid w:val="00597596"/>
    <w:rsid w:val="005A0B48"/>
    <w:rsid w:val="005A1869"/>
    <w:rsid w:val="005A19DC"/>
    <w:rsid w:val="005A1D16"/>
    <w:rsid w:val="005A2045"/>
    <w:rsid w:val="005A249A"/>
    <w:rsid w:val="005A2783"/>
    <w:rsid w:val="005A2A80"/>
    <w:rsid w:val="005A310D"/>
    <w:rsid w:val="005A482D"/>
    <w:rsid w:val="005A5A47"/>
    <w:rsid w:val="005A691C"/>
    <w:rsid w:val="005A716B"/>
    <w:rsid w:val="005A7325"/>
    <w:rsid w:val="005A7703"/>
    <w:rsid w:val="005A7C77"/>
    <w:rsid w:val="005B0919"/>
    <w:rsid w:val="005B0FE4"/>
    <w:rsid w:val="005B132C"/>
    <w:rsid w:val="005B20F7"/>
    <w:rsid w:val="005B21A9"/>
    <w:rsid w:val="005B26CF"/>
    <w:rsid w:val="005B2A8A"/>
    <w:rsid w:val="005B3E72"/>
    <w:rsid w:val="005B472F"/>
    <w:rsid w:val="005B47DB"/>
    <w:rsid w:val="005B58BF"/>
    <w:rsid w:val="005B6047"/>
    <w:rsid w:val="005B6183"/>
    <w:rsid w:val="005B651D"/>
    <w:rsid w:val="005B657A"/>
    <w:rsid w:val="005B6B62"/>
    <w:rsid w:val="005B7E80"/>
    <w:rsid w:val="005B7F68"/>
    <w:rsid w:val="005C147D"/>
    <w:rsid w:val="005C1D82"/>
    <w:rsid w:val="005C3307"/>
    <w:rsid w:val="005C3C65"/>
    <w:rsid w:val="005C3C8A"/>
    <w:rsid w:val="005C3EA6"/>
    <w:rsid w:val="005C4325"/>
    <w:rsid w:val="005C43EF"/>
    <w:rsid w:val="005C5161"/>
    <w:rsid w:val="005C5EB7"/>
    <w:rsid w:val="005C7726"/>
    <w:rsid w:val="005C780E"/>
    <w:rsid w:val="005C7994"/>
    <w:rsid w:val="005C7D65"/>
    <w:rsid w:val="005D057D"/>
    <w:rsid w:val="005D05E9"/>
    <w:rsid w:val="005D23E7"/>
    <w:rsid w:val="005D2657"/>
    <w:rsid w:val="005D27C4"/>
    <w:rsid w:val="005D3233"/>
    <w:rsid w:val="005D426F"/>
    <w:rsid w:val="005D4371"/>
    <w:rsid w:val="005D5351"/>
    <w:rsid w:val="005D5428"/>
    <w:rsid w:val="005D5A97"/>
    <w:rsid w:val="005D5ADF"/>
    <w:rsid w:val="005D61A2"/>
    <w:rsid w:val="005D7973"/>
    <w:rsid w:val="005E1071"/>
    <w:rsid w:val="005E1125"/>
    <w:rsid w:val="005E1164"/>
    <w:rsid w:val="005E1721"/>
    <w:rsid w:val="005E27BE"/>
    <w:rsid w:val="005E34BC"/>
    <w:rsid w:val="005E36FC"/>
    <w:rsid w:val="005E3759"/>
    <w:rsid w:val="005E39C1"/>
    <w:rsid w:val="005E3B0B"/>
    <w:rsid w:val="005E3E27"/>
    <w:rsid w:val="005E4059"/>
    <w:rsid w:val="005E406B"/>
    <w:rsid w:val="005E457C"/>
    <w:rsid w:val="005E46E5"/>
    <w:rsid w:val="005E4BF5"/>
    <w:rsid w:val="005E5C05"/>
    <w:rsid w:val="005E675F"/>
    <w:rsid w:val="005E70D5"/>
    <w:rsid w:val="005E74FE"/>
    <w:rsid w:val="005E7A81"/>
    <w:rsid w:val="005F0037"/>
    <w:rsid w:val="005F0C79"/>
    <w:rsid w:val="005F0D2D"/>
    <w:rsid w:val="005F0E05"/>
    <w:rsid w:val="005F148B"/>
    <w:rsid w:val="005F1BD0"/>
    <w:rsid w:val="005F2134"/>
    <w:rsid w:val="005F227D"/>
    <w:rsid w:val="005F2B16"/>
    <w:rsid w:val="005F2BDD"/>
    <w:rsid w:val="005F2F47"/>
    <w:rsid w:val="005F36B2"/>
    <w:rsid w:val="005F3969"/>
    <w:rsid w:val="005F3B80"/>
    <w:rsid w:val="005F438F"/>
    <w:rsid w:val="005F4F89"/>
    <w:rsid w:val="005F5084"/>
    <w:rsid w:val="005F56EC"/>
    <w:rsid w:val="005F579D"/>
    <w:rsid w:val="005F5A36"/>
    <w:rsid w:val="005F5B53"/>
    <w:rsid w:val="005F5F22"/>
    <w:rsid w:val="005F6C06"/>
    <w:rsid w:val="005F6DA6"/>
    <w:rsid w:val="005F740D"/>
    <w:rsid w:val="005F74A4"/>
    <w:rsid w:val="006002BD"/>
    <w:rsid w:val="00600687"/>
    <w:rsid w:val="006008F7"/>
    <w:rsid w:val="006019C6"/>
    <w:rsid w:val="00602655"/>
    <w:rsid w:val="00602A34"/>
    <w:rsid w:val="0060337D"/>
    <w:rsid w:val="00603572"/>
    <w:rsid w:val="00603EEF"/>
    <w:rsid w:val="00604516"/>
    <w:rsid w:val="00605481"/>
    <w:rsid w:val="0060556F"/>
    <w:rsid w:val="0060625D"/>
    <w:rsid w:val="00606746"/>
    <w:rsid w:val="006100A5"/>
    <w:rsid w:val="006103C2"/>
    <w:rsid w:val="00611B3B"/>
    <w:rsid w:val="00611DD1"/>
    <w:rsid w:val="006122DF"/>
    <w:rsid w:val="006123FB"/>
    <w:rsid w:val="006129CE"/>
    <w:rsid w:val="00612D50"/>
    <w:rsid w:val="00612D5A"/>
    <w:rsid w:val="006139AB"/>
    <w:rsid w:val="00613C59"/>
    <w:rsid w:val="00614442"/>
    <w:rsid w:val="0061446D"/>
    <w:rsid w:val="00614C50"/>
    <w:rsid w:val="00617D38"/>
    <w:rsid w:val="00620AAE"/>
    <w:rsid w:val="00621580"/>
    <w:rsid w:val="0062179F"/>
    <w:rsid w:val="00621907"/>
    <w:rsid w:val="0062248C"/>
    <w:rsid w:val="006226B0"/>
    <w:rsid w:val="00623516"/>
    <w:rsid w:val="00623723"/>
    <w:rsid w:val="006237CD"/>
    <w:rsid w:val="006239E2"/>
    <w:rsid w:val="00623A55"/>
    <w:rsid w:val="00623B1C"/>
    <w:rsid w:val="00624070"/>
    <w:rsid w:val="006244DE"/>
    <w:rsid w:val="00624827"/>
    <w:rsid w:val="00624CEC"/>
    <w:rsid w:val="00624FD0"/>
    <w:rsid w:val="006261CC"/>
    <w:rsid w:val="0062633A"/>
    <w:rsid w:val="00626947"/>
    <w:rsid w:val="00626CB4"/>
    <w:rsid w:val="00630922"/>
    <w:rsid w:val="0063125A"/>
    <w:rsid w:val="00632692"/>
    <w:rsid w:val="00633B26"/>
    <w:rsid w:val="0063444D"/>
    <w:rsid w:val="00634593"/>
    <w:rsid w:val="00634606"/>
    <w:rsid w:val="0063490D"/>
    <w:rsid w:val="0063496A"/>
    <w:rsid w:val="006349F9"/>
    <w:rsid w:val="006353AC"/>
    <w:rsid w:val="0063592F"/>
    <w:rsid w:val="00635E56"/>
    <w:rsid w:val="00636C25"/>
    <w:rsid w:val="0063763C"/>
    <w:rsid w:val="006377DE"/>
    <w:rsid w:val="00637970"/>
    <w:rsid w:val="0064012A"/>
    <w:rsid w:val="006412FC"/>
    <w:rsid w:val="00641B22"/>
    <w:rsid w:val="00642753"/>
    <w:rsid w:val="006429A0"/>
    <w:rsid w:val="00642EB5"/>
    <w:rsid w:val="00643379"/>
    <w:rsid w:val="0064436C"/>
    <w:rsid w:val="00645E56"/>
    <w:rsid w:val="00645EE2"/>
    <w:rsid w:val="006473B4"/>
    <w:rsid w:val="00647DA5"/>
    <w:rsid w:val="00650242"/>
    <w:rsid w:val="006503AC"/>
    <w:rsid w:val="00650758"/>
    <w:rsid w:val="00651625"/>
    <w:rsid w:val="00652AEB"/>
    <w:rsid w:val="00652C97"/>
    <w:rsid w:val="00652EB3"/>
    <w:rsid w:val="006537C2"/>
    <w:rsid w:val="00654753"/>
    <w:rsid w:val="00654D86"/>
    <w:rsid w:val="006550AD"/>
    <w:rsid w:val="00655EF4"/>
    <w:rsid w:val="00656C08"/>
    <w:rsid w:val="00656F8E"/>
    <w:rsid w:val="00657C18"/>
    <w:rsid w:val="00660DA6"/>
    <w:rsid w:val="0066117F"/>
    <w:rsid w:val="0066192E"/>
    <w:rsid w:val="00661E02"/>
    <w:rsid w:val="006621C6"/>
    <w:rsid w:val="0066251F"/>
    <w:rsid w:val="006626EE"/>
    <w:rsid w:val="006627D1"/>
    <w:rsid w:val="006636D1"/>
    <w:rsid w:val="00663889"/>
    <w:rsid w:val="00663A0E"/>
    <w:rsid w:val="0066481D"/>
    <w:rsid w:val="00664E46"/>
    <w:rsid w:val="00664FF4"/>
    <w:rsid w:val="00665377"/>
    <w:rsid w:val="00667586"/>
    <w:rsid w:val="006676E5"/>
    <w:rsid w:val="0067020C"/>
    <w:rsid w:val="0067083E"/>
    <w:rsid w:val="00670AF9"/>
    <w:rsid w:val="00671C61"/>
    <w:rsid w:val="00672004"/>
    <w:rsid w:val="00672E3D"/>
    <w:rsid w:val="0067325E"/>
    <w:rsid w:val="006738B1"/>
    <w:rsid w:val="00673A1A"/>
    <w:rsid w:val="00674696"/>
    <w:rsid w:val="006747B6"/>
    <w:rsid w:val="00674A44"/>
    <w:rsid w:val="00674E21"/>
    <w:rsid w:val="00675157"/>
    <w:rsid w:val="00675D30"/>
    <w:rsid w:val="00675E69"/>
    <w:rsid w:val="00675F60"/>
    <w:rsid w:val="006762F2"/>
    <w:rsid w:val="00676441"/>
    <w:rsid w:val="00677101"/>
    <w:rsid w:val="006771C6"/>
    <w:rsid w:val="00677ADE"/>
    <w:rsid w:val="00680992"/>
    <w:rsid w:val="006812B1"/>
    <w:rsid w:val="00681328"/>
    <w:rsid w:val="006816B3"/>
    <w:rsid w:val="00682327"/>
    <w:rsid w:val="00682824"/>
    <w:rsid w:val="006828B3"/>
    <w:rsid w:val="00682DCB"/>
    <w:rsid w:val="00682F41"/>
    <w:rsid w:val="006845F1"/>
    <w:rsid w:val="00684D31"/>
    <w:rsid w:val="00684D43"/>
    <w:rsid w:val="00684D8D"/>
    <w:rsid w:val="006855B0"/>
    <w:rsid w:val="006879C6"/>
    <w:rsid w:val="00687AC7"/>
    <w:rsid w:val="00687DA9"/>
    <w:rsid w:val="0069014A"/>
    <w:rsid w:val="00690EFF"/>
    <w:rsid w:val="00690F9A"/>
    <w:rsid w:val="0069218B"/>
    <w:rsid w:val="00692292"/>
    <w:rsid w:val="0069286D"/>
    <w:rsid w:val="00692948"/>
    <w:rsid w:val="00692A9C"/>
    <w:rsid w:val="006933A4"/>
    <w:rsid w:val="006935D9"/>
    <w:rsid w:val="006938EF"/>
    <w:rsid w:val="006939FE"/>
    <w:rsid w:val="0069500C"/>
    <w:rsid w:val="00695765"/>
    <w:rsid w:val="00695B38"/>
    <w:rsid w:val="00696074"/>
    <w:rsid w:val="00696235"/>
    <w:rsid w:val="006962A5"/>
    <w:rsid w:val="006964A1"/>
    <w:rsid w:val="00696685"/>
    <w:rsid w:val="0069698F"/>
    <w:rsid w:val="00696F70"/>
    <w:rsid w:val="00697272"/>
    <w:rsid w:val="00697726"/>
    <w:rsid w:val="00697BDE"/>
    <w:rsid w:val="006A019E"/>
    <w:rsid w:val="006A0442"/>
    <w:rsid w:val="006A058C"/>
    <w:rsid w:val="006A0B19"/>
    <w:rsid w:val="006A173F"/>
    <w:rsid w:val="006A1829"/>
    <w:rsid w:val="006A2387"/>
    <w:rsid w:val="006A24DD"/>
    <w:rsid w:val="006A2815"/>
    <w:rsid w:val="006A370E"/>
    <w:rsid w:val="006A3AD6"/>
    <w:rsid w:val="006A3D1D"/>
    <w:rsid w:val="006A4D6D"/>
    <w:rsid w:val="006A6AFE"/>
    <w:rsid w:val="006A74A6"/>
    <w:rsid w:val="006B0359"/>
    <w:rsid w:val="006B09A0"/>
    <w:rsid w:val="006B0FE2"/>
    <w:rsid w:val="006B14D1"/>
    <w:rsid w:val="006B1687"/>
    <w:rsid w:val="006B230A"/>
    <w:rsid w:val="006B2367"/>
    <w:rsid w:val="006B2378"/>
    <w:rsid w:val="006B387A"/>
    <w:rsid w:val="006B3D33"/>
    <w:rsid w:val="006B4177"/>
    <w:rsid w:val="006B6423"/>
    <w:rsid w:val="006B6766"/>
    <w:rsid w:val="006B6C31"/>
    <w:rsid w:val="006B6CFD"/>
    <w:rsid w:val="006B7753"/>
    <w:rsid w:val="006B7D27"/>
    <w:rsid w:val="006C03F4"/>
    <w:rsid w:val="006C089B"/>
    <w:rsid w:val="006C1039"/>
    <w:rsid w:val="006C112A"/>
    <w:rsid w:val="006C2060"/>
    <w:rsid w:val="006C2EEC"/>
    <w:rsid w:val="006C3508"/>
    <w:rsid w:val="006C360F"/>
    <w:rsid w:val="006C4006"/>
    <w:rsid w:val="006C46CB"/>
    <w:rsid w:val="006C4EBE"/>
    <w:rsid w:val="006C619D"/>
    <w:rsid w:val="006C6349"/>
    <w:rsid w:val="006C6531"/>
    <w:rsid w:val="006C6E79"/>
    <w:rsid w:val="006C7FA3"/>
    <w:rsid w:val="006D00CE"/>
    <w:rsid w:val="006D0CF3"/>
    <w:rsid w:val="006D0FF5"/>
    <w:rsid w:val="006D12EA"/>
    <w:rsid w:val="006D16B6"/>
    <w:rsid w:val="006D180E"/>
    <w:rsid w:val="006D1A3C"/>
    <w:rsid w:val="006D1CDF"/>
    <w:rsid w:val="006D1F3E"/>
    <w:rsid w:val="006D2284"/>
    <w:rsid w:val="006D2406"/>
    <w:rsid w:val="006D2836"/>
    <w:rsid w:val="006D2919"/>
    <w:rsid w:val="006D32BB"/>
    <w:rsid w:val="006D3AFA"/>
    <w:rsid w:val="006D3E89"/>
    <w:rsid w:val="006D54E0"/>
    <w:rsid w:val="006D5F04"/>
    <w:rsid w:val="006D60F9"/>
    <w:rsid w:val="006D63E0"/>
    <w:rsid w:val="006D67D4"/>
    <w:rsid w:val="006D6A6C"/>
    <w:rsid w:val="006E0175"/>
    <w:rsid w:val="006E02BF"/>
    <w:rsid w:val="006E0B6A"/>
    <w:rsid w:val="006E0DD0"/>
    <w:rsid w:val="006E0F2D"/>
    <w:rsid w:val="006E26AC"/>
    <w:rsid w:val="006E3606"/>
    <w:rsid w:val="006E38DB"/>
    <w:rsid w:val="006E47F8"/>
    <w:rsid w:val="006E4B37"/>
    <w:rsid w:val="006E4FD4"/>
    <w:rsid w:val="006E5ED6"/>
    <w:rsid w:val="006E67C6"/>
    <w:rsid w:val="006E6BBB"/>
    <w:rsid w:val="006E78AE"/>
    <w:rsid w:val="006E7D80"/>
    <w:rsid w:val="006F05B1"/>
    <w:rsid w:val="006F0B72"/>
    <w:rsid w:val="006F0B80"/>
    <w:rsid w:val="006F0C27"/>
    <w:rsid w:val="006F2012"/>
    <w:rsid w:val="006F3290"/>
    <w:rsid w:val="006F36A5"/>
    <w:rsid w:val="006F36AD"/>
    <w:rsid w:val="006F4237"/>
    <w:rsid w:val="006F43D1"/>
    <w:rsid w:val="006F4583"/>
    <w:rsid w:val="006F4A61"/>
    <w:rsid w:val="006F4F7F"/>
    <w:rsid w:val="006F54F8"/>
    <w:rsid w:val="006F6DE0"/>
    <w:rsid w:val="006F6E16"/>
    <w:rsid w:val="006F6EC9"/>
    <w:rsid w:val="006F719C"/>
    <w:rsid w:val="006F72EC"/>
    <w:rsid w:val="006F74CA"/>
    <w:rsid w:val="006F7FF4"/>
    <w:rsid w:val="00701E0B"/>
    <w:rsid w:val="00702167"/>
    <w:rsid w:val="007023CE"/>
    <w:rsid w:val="00702D10"/>
    <w:rsid w:val="00702EFE"/>
    <w:rsid w:val="00702FA6"/>
    <w:rsid w:val="0070323E"/>
    <w:rsid w:val="007033A1"/>
    <w:rsid w:val="007038F8"/>
    <w:rsid w:val="0070398C"/>
    <w:rsid w:val="00704015"/>
    <w:rsid w:val="00704222"/>
    <w:rsid w:val="00704733"/>
    <w:rsid w:val="007049A6"/>
    <w:rsid w:val="00704CF1"/>
    <w:rsid w:val="00704FD1"/>
    <w:rsid w:val="007059C6"/>
    <w:rsid w:val="00705CD5"/>
    <w:rsid w:val="0070627A"/>
    <w:rsid w:val="007069D9"/>
    <w:rsid w:val="00707398"/>
    <w:rsid w:val="007078AB"/>
    <w:rsid w:val="00707F80"/>
    <w:rsid w:val="007107B3"/>
    <w:rsid w:val="00710AAA"/>
    <w:rsid w:val="00711006"/>
    <w:rsid w:val="00711119"/>
    <w:rsid w:val="00711DFD"/>
    <w:rsid w:val="00711E67"/>
    <w:rsid w:val="007126BA"/>
    <w:rsid w:val="00712C9B"/>
    <w:rsid w:val="007138C2"/>
    <w:rsid w:val="00715A7A"/>
    <w:rsid w:val="00716549"/>
    <w:rsid w:val="00716987"/>
    <w:rsid w:val="007169E3"/>
    <w:rsid w:val="0072095D"/>
    <w:rsid w:val="00720B5D"/>
    <w:rsid w:val="00721388"/>
    <w:rsid w:val="0072196A"/>
    <w:rsid w:val="007219D4"/>
    <w:rsid w:val="00721E46"/>
    <w:rsid w:val="00721F1F"/>
    <w:rsid w:val="00722322"/>
    <w:rsid w:val="00722963"/>
    <w:rsid w:val="00722F47"/>
    <w:rsid w:val="007238FC"/>
    <w:rsid w:val="00723F76"/>
    <w:rsid w:val="0072478A"/>
    <w:rsid w:val="00724CCE"/>
    <w:rsid w:val="0072582A"/>
    <w:rsid w:val="00725CD3"/>
    <w:rsid w:val="00726585"/>
    <w:rsid w:val="00726F3B"/>
    <w:rsid w:val="007274EA"/>
    <w:rsid w:val="0073051C"/>
    <w:rsid w:val="00730902"/>
    <w:rsid w:val="00730DE0"/>
    <w:rsid w:val="00731EE5"/>
    <w:rsid w:val="00732260"/>
    <w:rsid w:val="007324A6"/>
    <w:rsid w:val="007326A6"/>
    <w:rsid w:val="00733057"/>
    <w:rsid w:val="00733296"/>
    <w:rsid w:val="007333ED"/>
    <w:rsid w:val="00733755"/>
    <w:rsid w:val="007345DE"/>
    <w:rsid w:val="007358DD"/>
    <w:rsid w:val="007363A3"/>
    <w:rsid w:val="00736876"/>
    <w:rsid w:val="00737072"/>
    <w:rsid w:val="0073793C"/>
    <w:rsid w:val="00737F2D"/>
    <w:rsid w:val="0074027D"/>
    <w:rsid w:val="00740540"/>
    <w:rsid w:val="0074087D"/>
    <w:rsid w:val="007413DB"/>
    <w:rsid w:val="00741F4F"/>
    <w:rsid w:val="00742310"/>
    <w:rsid w:val="007423A5"/>
    <w:rsid w:val="0074328C"/>
    <w:rsid w:val="00743453"/>
    <w:rsid w:val="007439E6"/>
    <w:rsid w:val="00743A98"/>
    <w:rsid w:val="00744669"/>
    <w:rsid w:val="00744F6A"/>
    <w:rsid w:val="0074571C"/>
    <w:rsid w:val="00746201"/>
    <w:rsid w:val="00746867"/>
    <w:rsid w:val="007469C2"/>
    <w:rsid w:val="0074774F"/>
    <w:rsid w:val="007514E1"/>
    <w:rsid w:val="00751C32"/>
    <w:rsid w:val="007523F8"/>
    <w:rsid w:val="00752732"/>
    <w:rsid w:val="00752D1A"/>
    <w:rsid w:val="0075309A"/>
    <w:rsid w:val="0075357C"/>
    <w:rsid w:val="007544CE"/>
    <w:rsid w:val="00754871"/>
    <w:rsid w:val="00754A73"/>
    <w:rsid w:val="00754BE9"/>
    <w:rsid w:val="0075571B"/>
    <w:rsid w:val="00755837"/>
    <w:rsid w:val="0075588A"/>
    <w:rsid w:val="00756071"/>
    <w:rsid w:val="00756E3B"/>
    <w:rsid w:val="007570D9"/>
    <w:rsid w:val="0075787F"/>
    <w:rsid w:val="007608A7"/>
    <w:rsid w:val="00760A53"/>
    <w:rsid w:val="00760C20"/>
    <w:rsid w:val="007610F0"/>
    <w:rsid w:val="00761538"/>
    <w:rsid w:val="00761A36"/>
    <w:rsid w:val="00761C71"/>
    <w:rsid w:val="00761C96"/>
    <w:rsid w:val="00761CF2"/>
    <w:rsid w:val="00761E86"/>
    <w:rsid w:val="00761FBC"/>
    <w:rsid w:val="00762219"/>
    <w:rsid w:val="0076249F"/>
    <w:rsid w:val="00762783"/>
    <w:rsid w:val="00762B8E"/>
    <w:rsid w:val="00762C12"/>
    <w:rsid w:val="00762C2B"/>
    <w:rsid w:val="00763A44"/>
    <w:rsid w:val="00763FB3"/>
    <w:rsid w:val="00764359"/>
    <w:rsid w:val="0076439B"/>
    <w:rsid w:val="007643C7"/>
    <w:rsid w:val="00764574"/>
    <w:rsid w:val="0076531D"/>
    <w:rsid w:val="0076539E"/>
    <w:rsid w:val="007659DC"/>
    <w:rsid w:val="00766FDD"/>
    <w:rsid w:val="00767054"/>
    <w:rsid w:val="007670E1"/>
    <w:rsid w:val="007671FA"/>
    <w:rsid w:val="00767454"/>
    <w:rsid w:val="00767BFD"/>
    <w:rsid w:val="00770529"/>
    <w:rsid w:val="007705EA"/>
    <w:rsid w:val="007707F4"/>
    <w:rsid w:val="00771568"/>
    <w:rsid w:val="007717BB"/>
    <w:rsid w:val="00771B76"/>
    <w:rsid w:val="00771E9C"/>
    <w:rsid w:val="00772CC5"/>
    <w:rsid w:val="00773E10"/>
    <w:rsid w:val="00774904"/>
    <w:rsid w:val="00774A1D"/>
    <w:rsid w:val="00774BCF"/>
    <w:rsid w:val="00774DCC"/>
    <w:rsid w:val="00774FBB"/>
    <w:rsid w:val="0077575F"/>
    <w:rsid w:val="00776056"/>
    <w:rsid w:val="007766F0"/>
    <w:rsid w:val="00776AB9"/>
    <w:rsid w:val="00776BA4"/>
    <w:rsid w:val="007777A4"/>
    <w:rsid w:val="0078015B"/>
    <w:rsid w:val="00780251"/>
    <w:rsid w:val="00780687"/>
    <w:rsid w:val="00780705"/>
    <w:rsid w:val="00780C22"/>
    <w:rsid w:val="00781327"/>
    <w:rsid w:val="00782099"/>
    <w:rsid w:val="00782F64"/>
    <w:rsid w:val="00783F07"/>
    <w:rsid w:val="0078411F"/>
    <w:rsid w:val="00785023"/>
    <w:rsid w:val="007854CF"/>
    <w:rsid w:val="00785538"/>
    <w:rsid w:val="00785DB3"/>
    <w:rsid w:val="00786914"/>
    <w:rsid w:val="00786FB6"/>
    <w:rsid w:val="007904FB"/>
    <w:rsid w:val="00790C4C"/>
    <w:rsid w:val="00790E0F"/>
    <w:rsid w:val="0079193F"/>
    <w:rsid w:val="00791EF6"/>
    <w:rsid w:val="00792B36"/>
    <w:rsid w:val="0079342F"/>
    <w:rsid w:val="0079352F"/>
    <w:rsid w:val="00793C42"/>
    <w:rsid w:val="00794182"/>
    <w:rsid w:val="00794209"/>
    <w:rsid w:val="007944EA"/>
    <w:rsid w:val="00794B5E"/>
    <w:rsid w:val="00794D40"/>
    <w:rsid w:val="00794FFB"/>
    <w:rsid w:val="00795599"/>
    <w:rsid w:val="00795B39"/>
    <w:rsid w:val="00796215"/>
    <w:rsid w:val="00796382"/>
    <w:rsid w:val="0079638C"/>
    <w:rsid w:val="007965F8"/>
    <w:rsid w:val="00796DDA"/>
    <w:rsid w:val="0079743F"/>
    <w:rsid w:val="007975C5"/>
    <w:rsid w:val="00797C9C"/>
    <w:rsid w:val="00797F12"/>
    <w:rsid w:val="007A03B9"/>
    <w:rsid w:val="007A09DB"/>
    <w:rsid w:val="007A0EEC"/>
    <w:rsid w:val="007A12BB"/>
    <w:rsid w:val="007A216C"/>
    <w:rsid w:val="007A2516"/>
    <w:rsid w:val="007A2711"/>
    <w:rsid w:val="007A28F9"/>
    <w:rsid w:val="007A2CAE"/>
    <w:rsid w:val="007A37B4"/>
    <w:rsid w:val="007A4267"/>
    <w:rsid w:val="007A477E"/>
    <w:rsid w:val="007A50E1"/>
    <w:rsid w:val="007A5800"/>
    <w:rsid w:val="007A5BF4"/>
    <w:rsid w:val="007A6124"/>
    <w:rsid w:val="007A649E"/>
    <w:rsid w:val="007A69C3"/>
    <w:rsid w:val="007A6E0E"/>
    <w:rsid w:val="007A6F69"/>
    <w:rsid w:val="007A7A90"/>
    <w:rsid w:val="007A7C44"/>
    <w:rsid w:val="007A7D7D"/>
    <w:rsid w:val="007B0023"/>
    <w:rsid w:val="007B02B6"/>
    <w:rsid w:val="007B068A"/>
    <w:rsid w:val="007B06C1"/>
    <w:rsid w:val="007B0A6C"/>
    <w:rsid w:val="007B161B"/>
    <w:rsid w:val="007B305A"/>
    <w:rsid w:val="007B3484"/>
    <w:rsid w:val="007B5324"/>
    <w:rsid w:val="007B5458"/>
    <w:rsid w:val="007B5D42"/>
    <w:rsid w:val="007B6596"/>
    <w:rsid w:val="007B6D42"/>
    <w:rsid w:val="007B7174"/>
    <w:rsid w:val="007C1F9E"/>
    <w:rsid w:val="007C234B"/>
    <w:rsid w:val="007C247A"/>
    <w:rsid w:val="007C2523"/>
    <w:rsid w:val="007C4035"/>
    <w:rsid w:val="007C40B1"/>
    <w:rsid w:val="007C4190"/>
    <w:rsid w:val="007C47CE"/>
    <w:rsid w:val="007C4B39"/>
    <w:rsid w:val="007C579D"/>
    <w:rsid w:val="007C5E6F"/>
    <w:rsid w:val="007C684D"/>
    <w:rsid w:val="007C6A5F"/>
    <w:rsid w:val="007D07E9"/>
    <w:rsid w:val="007D0E11"/>
    <w:rsid w:val="007D0E49"/>
    <w:rsid w:val="007D0E74"/>
    <w:rsid w:val="007D145B"/>
    <w:rsid w:val="007D1E34"/>
    <w:rsid w:val="007D2047"/>
    <w:rsid w:val="007D27B9"/>
    <w:rsid w:val="007D30D8"/>
    <w:rsid w:val="007D36DC"/>
    <w:rsid w:val="007D3704"/>
    <w:rsid w:val="007D42A4"/>
    <w:rsid w:val="007D42AB"/>
    <w:rsid w:val="007D4592"/>
    <w:rsid w:val="007D4B76"/>
    <w:rsid w:val="007D4BD7"/>
    <w:rsid w:val="007D4C9A"/>
    <w:rsid w:val="007D5BDA"/>
    <w:rsid w:val="007D691A"/>
    <w:rsid w:val="007D7303"/>
    <w:rsid w:val="007D733E"/>
    <w:rsid w:val="007D7708"/>
    <w:rsid w:val="007E0426"/>
    <w:rsid w:val="007E0464"/>
    <w:rsid w:val="007E09C6"/>
    <w:rsid w:val="007E1F17"/>
    <w:rsid w:val="007E21A6"/>
    <w:rsid w:val="007E2491"/>
    <w:rsid w:val="007E2BBD"/>
    <w:rsid w:val="007E34A7"/>
    <w:rsid w:val="007E37E8"/>
    <w:rsid w:val="007E3A24"/>
    <w:rsid w:val="007E3DD6"/>
    <w:rsid w:val="007E3F14"/>
    <w:rsid w:val="007E3F4C"/>
    <w:rsid w:val="007E42D9"/>
    <w:rsid w:val="007E539D"/>
    <w:rsid w:val="007E5D7E"/>
    <w:rsid w:val="007E6761"/>
    <w:rsid w:val="007E67AD"/>
    <w:rsid w:val="007E687D"/>
    <w:rsid w:val="007E7FE3"/>
    <w:rsid w:val="007F0147"/>
    <w:rsid w:val="007F0444"/>
    <w:rsid w:val="007F10A2"/>
    <w:rsid w:val="007F1333"/>
    <w:rsid w:val="007F1654"/>
    <w:rsid w:val="007F17D8"/>
    <w:rsid w:val="007F19D2"/>
    <w:rsid w:val="007F309F"/>
    <w:rsid w:val="007F334B"/>
    <w:rsid w:val="007F352B"/>
    <w:rsid w:val="007F4E5E"/>
    <w:rsid w:val="007F4F98"/>
    <w:rsid w:val="007F53A4"/>
    <w:rsid w:val="007F55F8"/>
    <w:rsid w:val="007F5617"/>
    <w:rsid w:val="007F5A42"/>
    <w:rsid w:val="007F5C4C"/>
    <w:rsid w:val="007F5F94"/>
    <w:rsid w:val="007F6384"/>
    <w:rsid w:val="007F6A91"/>
    <w:rsid w:val="007F6EC0"/>
    <w:rsid w:val="007F6FFB"/>
    <w:rsid w:val="007F7740"/>
    <w:rsid w:val="00801F67"/>
    <w:rsid w:val="008026AC"/>
    <w:rsid w:val="0080279C"/>
    <w:rsid w:val="00803D33"/>
    <w:rsid w:val="00803E6A"/>
    <w:rsid w:val="008048D0"/>
    <w:rsid w:val="00804D57"/>
    <w:rsid w:val="008068CA"/>
    <w:rsid w:val="00806969"/>
    <w:rsid w:val="00807110"/>
    <w:rsid w:val="008071CA"/>
    <w:rsid w:val="00807B9F"/>
    <w:rsid w:val="00807DED"/>
    <w:rsid w:val="008102E2"/>
    <w:rsid w:val="00810322"/>
    <w:rsid w:val="00810951"/>
    <w:rsid w:val="00811D5D"/>
    <w:rsid w:val="008128D3"/>
    <w:rsid w:val="00813591"/>
    <w:rsid w:val="00813BEC"/>
    <w:rsid w:val="00813BFB"/>
    <w:rsid w:val="00813DE4"/>
    <w:rsid w:val="00813E6A"/>
    <w:rsid w:val="00814B50"/>
    <w:rsid w:val="0081575A"/>
    <w:rsid w:val="00816935"/>
    <w:rsid w:val="00820308"/>
    <w:rsid w:val="00820A4B"/>
    <w:rsid w:val="00820F24"/>
    <w:rsid w:val="00822004"/>
    <w:rsid w:val="00822769"/>
    <w:rsid w:val="00822E2D"/>
    <w:rsid w:val="008239AD"/>
    <w:rsid w:val="00823C11"/>
    <w:rsid w:val="008246F0"/>
    <w:rsid w:val="00824AE4"/>
    <w:rsid w:val="008267D3"/>
    <w:rsid w:val="00826F38"/>
    <w:rsid w:val="008274DF"/>
    <w:rsid w:val="00827D0F"/>
    <w:rsid w:val="00830098"/>
    <w:rsid w:val="00830574"/>
    <w:rsid w:val="008309BD"/>
    <w:rsid w:val="00830BEC"/>
    <w:rsid w:val="00831C92"/>
    <w:rsid w:val="00832309"/>
    <w:rsid w:val="008331C6"/>
    <w:rsid w:val="008339A8"/>
    <w:rsid w:val="00833CB9"/>
    <w:rsid w:val="0083470B"/>
    <w:rsid w:val="008349D9"/>
    <w:rsid w:val="00835148"/>
    <w:rsid w:val="00835A11"/>
    <w:rsid w:val="0083670B"/>
    <w:rsid w:val="00836E3F"/>
    <w:rsid w:val="00837E16"/>
    <w:rsid w:val="0084007D"/>
    <w:rsid w:val="0084134A"/>
    <w:rsid w:val="00841D8D"/>
    <w:rsid w:val="00841E6F"/>
    <w:rsid w:val="00841FFA"/>
    <w:rsid w:val="0084253F"/>
    <w:rsid w:val="00842B90"/>
    <w:rsid w:val="00842FA0"/>
    <w:rsid w:val="0084328B"/>
    <w:rsid w:val="00843489"/>
    <w:rsid w:val="008443BA"/>
    <w:rsid w:val="008443FF"/>
    <w:rsid w:val="0084567B"/>
    <w:rsid w:val="0084750B"/>
    <w:rsid w:val="0084777A"/>
    <w:rsid w:val="00847F6C"/>
    <w:rsid w:val="00850917"/>
    <w:rsid w:val="00850BDF"/>
    <w:rsid w:val="008516BB"/>
    <w:rsid w:val="00851C8C"/>
    <w:rsid w:val="00851E72"/>
    <w:rsid w:val="00852370"/>
    <w:rsid w:val="0085277E"/>
    <w:rsid w:val="00852D9B"/>
    <w:rsid w:val="00853534"/>
    <w:rsid w:val="00853792"/>
    <w:rsid w:val="00853A0E"/>
    <w:rsid w:val="00853BD4"/>
    <w:rsid w:val="00853E25"/>
    <w:rsid w:val="0085419D"/>
    <w:rsid w:val="0085457E"/>
    <w:rsid w:val="00855A51"/>
    <w:rsid w:val="008565A3"/>
    <w:rsid w:val="008565EB"/>
    <w:rsid w:val="008568F6"/>
    <w:rsid w:val="008569AA"/>
    <w:rsid w:val="00856EF1"/>
    <w:rsid w:val="008604F1"/>
    <w:rsid w:val="00860792"/>
    <w:rsid w:val="00860A66"/>
    <w:rsid w:val="008613F8"/>
    <w:rsid w:val="00861790"/>
    <w:rsid w:val="0086206D"/>
    <w:rsid w:val="00862445"/>
    <w:rsid w:val="00862C79"/>
    <w:rsid w:val="00864565"/>
    <w:rsid w:val="00864BA0"/>
    <w:rsid w:val="00864FD6"/>
    <w:rsid w:val="0086511A"/>
    <w:rsid w:val="008651DE"/>
    <w:rsid w:val="008657D3"/>
    <w:rsid w:val="0086626A"/>
    <w:rsid w:val="008663AB"/>
    <w:rsid w:val="008672C9"/>
    <w:rsid w:val="008708EC"/>
    <w:rsid w:val="00870D14"/>
    <w:rsid w:val="00871482"/>
    <w:rsid w:val="008729CE"/>
    <w:rsid w:val="00872AAF"/>
    <w:rsid w:val="0087319E"/>
    <w:rsid w:val="008734E8"/>
    <w:rsid w:val="00875CEE"/>
    <w:rsid w:val="00875E3E"/>
    <w:rsid w:val="00876878"/>
    <w:rsid w:val="00876BB6"/>
    <w:rsid w:val="00877581"/>
    <w:rsid w:val="00880F7F"/>
    <w:rsid w:val="00881738"/>
    <w:rsid w:val="00881A18"/>
    <w:rsid w:val="00881F8A"/>
    <w:rsid w:val="00882470"/>
    <w:rsid w:val="008835CC"/>
    <w:rsid w:val="00883858"/>
    <w:rsid w:val="00883D24"/>
    <w:rsid w:val="00883D3F"/>
    <w:rsid w:val="008843B6"/>
    <w:rsid w:val="00884742"/>
    <w:rsid w:val="00884B76"/>
    <w:rsid w:val="00884F5D"/>
    <w:rsid w:val="008850B7"/>
    <w:rsid w:val="0088562A"/>
    <w:rsid w:val="00885A6C"/>
    <w:rsid w:val="0088631A"/>
    <w:rsid w:val="00886462"/>
    <w:rsid w:val="0088788F"/>
    <w:rsid w:val="00887D00"/>
    <w:rsid w:val="00890250"/>
    <w:rsid w:val="008906C1"/>
    <w:rsid w:val="00890FB9"/>
    <w:rsid w:val="0089120B"/>
    <w:rsid w:val="008918F5"/>
    <w:rsid w:val="00891E50"/>
    <w:rsid w:val="00892542"/>
    <w:rsid w:val="00893099"/>
    <w:rsid w:val="00894AB5"/>
    <w:rsid w:val="00895C77"/>
    <w:rsid w:val="00896419"/>
    <w:rsid w:val="0089718C"/>
    <w:rsid w:val="00897805"/>
    <w:rsid w:val="008A0215"/>
    <w:rsid w:val="008A1397"/>
    <w:rsid w:val="008A22DD"/>
    <w:rsid w:val="008A2379"/>
    <w:rsid w:val="008A2D6B"/>
    <w:rsid w:val="008A4F09"/>
    <w:rsid w:val="008A5026"/>
    <w:rsid w:val="008A557E"/>
    <w:rsid w:val="008A56C6"/>
    <w:rsid w:val="008A600A"/>
    <w:rsid w:val="008A6CF9"/>
    <w:rsid w:val="008A76D5"/>
    <w:rsid w:val="008B0748"/>
    <w:rsid w:val="008B0DED"/>
    <w:rsid w:val="008B102A"/>
    <w:rsid w:val="008B26CB"/>
    <w:rsid w:val="008B2872"/>
    <w:rsid w:val="008B315E"/>
    <w:rsid w:val="008B353B"/>
    <w:rsid w:val="008B3823"/>
    <w:rsid w:val="008B3C4B"/>
    <w:rsid w:val="008B3EB7"/>
    <w:rsid w:val="008B4599"/>
    <w:rsid w:val="008B500B"/>
    <w:rsid w:val="008B5A0B"/>
    <w:rsid w:val="008B5FE0"/>
    <w:rsid w:val="008B711C"/>
    <w:rsid w:val="008B7230"/>
    <w:rsid w:val="008B73BB"/>
    <w:rsid w:val="008B73DF"/>
    <w:rsid w:val="008B7E70"/>
    <w:rsid w:val="008C0AAF"/>
    <w:rsid w:val="008C260A"/>
    <w:rsid w:val="008C2810"/>
    <w:rsid w:val="008C2A37"/>
    <w:rsid w:val="008C3898"/>
    <w:rsid w:val="008C3E68"/>
    <w:rsid w:val="008C479D"/>
    <w:rsid w:val="008C4882"/>
    <w:rsid w:val="008C4B50"/>
    <w:rsid w:val="008C5F17"/>
    <w:rsid w:val="008C6188"/>
    <w:rsid w:val="008C6269"/>
    <w:rsid w:val="008C6381"/>
    <w:rsid w:val="008C6DC5"/>
    <w:rsid w:val="008C74A0"/>
    <w:rsid w:val="008C78AB"/>
    <w:rsid w:val="008C7FC1"/>
    <w:rsid w:val="008D0009"/>
    <w:rsid w:val="008D048B"/>
    <w:rsid w:val="008D07DA"/>
    <w:rsid w:val="008D115F"/>
    <w:rsid w:val="008D16FF"/>
    <w:rsid w:val="008D1C34"/>
    <w:rsid w:val="008D2DB4"/>
    <w:rsid w:val="008D2F30"/>
    <w:rsid w:val="008D3597"/>
    <w:rsid w:val="008D38F1"/>
    <w:rsid w:val="008D3BF5"/>
    <w:rsid w:val="008D460A"/>
    <w:rsid w:val="008D4985"/>
    <w:rsid w:val="008D5DF2"/>
    <w:rsid w:val="008D6B36"/>
    <w:rsid w:val="008D6C37"/>
    <w:rsid w:val="008D741F"/>
    <w:rsid w:val="008D747A"/>
    <w:rsid w:val="008D7C99"/>
    <w:rsid w:val="008D7D89"/>
    <w:rsid w:val="008E04DB"/>
    <w:rsid w:val="008E2028"/>
    <w:rsid w:val="008E22F8"/>
    <w:rsid w:val="008E2D34"/>
    <w:rsid w:val="008E32DC"/>
    <w:rsid w:val="008E367D"/>
    <w:rsid w:val="008E373C"/>
    <w:rsid w:val="008E3CF0"/>
    <w:rsid w:val="008E42BB"/>
    <w:rsid w:val="008E4903"/>
    <w:rsid w:val="008E4ACB"/>
    <w:rsid w:val="008E59D8"/>
    <w:rsid w:val="008E5D11"/>
    <w:rsid w:val="008E61DF"/>
    <w:rsid w:val="008E665F"/>
    <w:rsid w:val="008E778A"/>
    <w:rsid w:val="008F18BC"/>
    <w:rsid w:val="008F207F"/>
    <w:rsid w:val="008F2507"/>
    <w:rsid w:val="008F26F8"/>
    <w:rsid w:val="008F29CA"/>
    <w:rsid w:val="008F2B7D"/>
    <w:rsid w:val="008F3BA5"/>
    <w:rsid w:val="008F406C"/>
    <w:rsid w:val="008F428D"/>
    <w:rsid w:val="008F4CC4"/>
    <w:rsid w:val="008F4D95"/>
    <w:rsid w:val="008F54FE"/>
    <w:rsid w:val="008F60A4"/>
    <w:rsid w:val="008F681C"/>
    <w:rsid w:val="008F71C5"/>
    <w:rsid w:val="008F7765"/>
    <w:rsid w:val="008F7A72"/>
    <w:rsid w:val="008F7CF4"/>
    <w:rsid w:val="00900CCE"/>
    <w:rsid w:val="00901453"/>
    <w:rsid w:val="00901519"/>
    <w:rsid w:val="009016B7"/>
    <w:rsid w:val="00901BE0"/>
    <w:rsid w:val="00901ED6"/>
    <w:rsid w:val="00902FEC"/>
    <w:rsid w:val="009044A6"/>
    <w:rsid w:val="0090493E"/>
    <w:rsid w:val="00905162"/>
    <w:rsid w:val="009059C7"/>
    <w:rsid w:val="009060EA"/>
    <w:rsid w:val="00907DDF"/>
    <w:rsid w:val="0091080B"/>
    <w:rsid w:val="00910977"/>
    <w:rsid w:val="00910F34"/>
    <w:rsid w:val="00911597"/>
    <w:rsid w:val="0091161B"/>
    <w:rsid w:val="0091188B"/>
    <w:rsid w:val="009122F3"/>
    <w:rsid w:val="009123C8"/>
    <w:rsid w:val="00912409"/>
    <w:rsid w:val="009134F2"/>
    <w:rsid w:val="0091392C"/>
    <w:rsid w:val="00913A71"/>
    <w:rsid w:val="00913E04"/>
    <w:rsid w:val="00913FE7"/>
    <w:rsid w:val="009140C0"/>
    <w:rsid w:val="009149DC"/>
    <w:rsid w:val="00914AE0"/>
    <w:rsid w:val="00914B6A"/>
    <w:rsid w:val="00914CEB"/>
    <w:rsid w:val="009162FD"/>
    <w:rsid w:val="00916BF0"/>
    <w:rsid w:val="00916CE8"/>
    <w:rsid w:val="00916D58"/>
    <w:rsid w:val="00916DD2"/>
    <w:rsid w:val="00917263"/>
    <w:rsid w:val="009174CD"/>
    <w:rsid w:val="009175B5"/>
    <w:rsid w:val="00917626"/>
    <w:rsid w:val="009178E7"/>
    <w:rsid w:val="00917CEE"/>
    <w:rsid w:val="00920F79"/>
    <w:rsid w:val="009214A0"/>
    <w:rsid w:val="00921BEC"/>
    <w:rsid w:val="00921F06"/>
    <w:rsid w:val="00922336"/>
    <w:rsid w:val="0092332F"/>
    <w:rsid w:val="009239BC"/>
    <w:rsid w:val="00923EF2"/>
    <w:rsid w:val="00924E45"/>
    <w:rsid w:val="00924F51"/>
    <w:rsid w:val="00925036"/>
    <w:rsid w:val="00925204"/>
    <w:rsid w:val="00925C5F"/>
    <w:rsid w:val="0092616E"/>
    <w:rsid w:val="00926732"/>
    <w:rsid w:val="00926926"/>
    <w:rsid w:val="00926965"/>
    <w:rsid w:val="00926FE1"/>
    <w:rsid w:val="00927951"/>
    <w:rsid w:val="00927AD8"/>
    <w:rsid w:val="00927C0F"/>
    <w:rsid w:val="00930254"/>
    <w:rsid w:val="009316A7"/>
    <w:rsid w:val="00932269"/>
    <w:rsid w:val="00932DA0"/>
    <w:rsid w:val="0093332F"/>
    <w:rsid w:val="00933687"/>
    <w:rsid w:val="0093379E"/>
    <w:rsid w:val="00934209"/>
    <w:rsid w:val="009345B1"/>
    <w:rsid w:val="0093494E"/>
    <w:rsid w:val="009357D6"/>
    <w:rsid w:val="0093696A"/>
    <w:rsid w:val="00936A02"/>
    <w:rsid w:val="00937458"/>
    <w:rsid w:val="0093765E"/>
    <w:rsid w:val="00940969"/>
    <w:rsid w:val="00942773"/>
    <w:rsid w:val="0094327D"/>
    <w:rsid w:val="00943892"/>
    <w:rsid w:val="00943893"/>
    <w:rsid w:val="00943A3A"/>
    <w:rsid w:val="00944C8D"/>
    <w:rsid w:val="00945947"/>
    <w:rsid w:val="00945E0F"/>
    <w:rsid w:val="00946717"/>
    <w:rsid w:val="00946D12"/>
    <w:rsid w:val="00946F8E"/>
    <w:rsid w:val="0094795B"/>
    <w:rsid w:val="009503C7"/>
    <w:rsid w:val="0095049B"/>
    <w:rsid w:val="0095056E"/>
    <w:rsid w:val="0095098A"/>
    <w:rsid w:val="009511F2"/>
    <w:rsid w:val="0095123A"/>
    <w:rsid w:val="009512F0"/>
    <w:rsid w:val="009513E9"/>
    <w:rsid w:val="009514D5"/>
    <w:rsid w:val="009515A9"/>
    <w:rsid w:val="009520D2"/>
    <w:rsid w:val="00952110"/>
    <w:rsid w:val="009522AE"/>
    <w:rsid w:val="009522B4"/>
    <w:rsid w:val="0095251B"/>
    <w:rsid w:val="00952A23"/>
    <w:rsid w:val="00952CE7"/>
    <w:rsid w:val="00953007"/>
    <w:rsid w:val="009539FF"/>
    <w:rsid w:val="009540F5"/>
    <w:rsid w:val="0095524A"/>
    <w:rsid w:val="00955810"/>
    <w:rsid w:val="00955B51"/>
    <w:rsid w:val="00955E4D"/>
    <w:rsid w:val="009562F2"/>
    <w:rsid w:val="009570F3"/>
    <w:rsid w:val="009571F2"/>
    <w:rsid w:val="009607D0"/>
    <w:rsid w:val="009611F0"/>
    <w:rsid w:val="009618D7"/>
    <w:rsid w:val="00961DB0"/>
    <w:rsid w:val="00961E3C"/>
    <w:rsid w:val="0096301A"/>
    <w:rsid w:val="0096327A"/>
    <w:rsid w:val="009634C3"/>
    <w:rsid w:val="00964D42"/>
    <w:rsid w:val="00965300"/>
    <w:rsid w:val="00965738"/>
    <w:rsid w:val="00966825"/>
    <w:rsid w:val="009668FE"/>
    <w:rsid w:val="00966A60"/>
    <w:rsid w:val="00966DA1"/>
    <w:rsid w:val="0096775F"/>
    <w:rsid w:val="00967FF8"/>
    <w:rsid w:val="00970271"/>
    <w:rsid w:val="00970524"/>
    <w:rsid w:val="00970576"/>
    <w:rsid w:val="00970DD5"/>
    <w:rsid w:val="00971357"/>
    <w:rsid w:val="009716F1"/>
    <w:rsid w:val="009719FD"/>
    <w:rsid w:val="00972A7C"/>
    <w:rsid w:val="00972D3F"/>
    <w:rsid w:val="00974982"/>
    <w:rsid w:val="00974ADA"/>
    <w:rsid w:val="00974B6F"/>
    <w:rsid w:val="00975ABB"/>
    <w:rsid w:val="00976185"/>
    <w:rsid w:val="009768B3"/>
    <w:rsid w:val="00976FD9"/>
    <w:rsid w:val="0097748F"/>
    <w:rsid w:val="00980036"/>
    <w:rsid w:val="00980A38"/>
    <w:rsid w:val="00981204"/>
    <w:rsid w:val="0098125F"/>
    <w:rsid w:val="00982091"/>
    <w:rsid w:val="0098251B"/>
    <w:rsid w:val="00982679"/>
    <w:rsid w:val="00982B63"/>
    <w:rsid w:val="0098351B"/>
    <w:rsid w:val="0098368F"/>
    <w:rsid w:val="0098394A"/>
    <w:rsid w:val="00983F6D"/>
    <w:rsid w:val="00984775"/>
    <w:rsid w:val="00984E27"/>
    <w:rsid w:val="00986E3C"/>
    <w:rsid w:val="0098794E"/>
    <w:rsid w:val="00987C18"/>
    <w:rsid w:val="00987D04"/>
    <w:rsid w:val="00987E8F"/>
    <w:rsid w:val="00990814"/>
    <w:rsid w:val="009911A0"/>
    <w:rsid w:val="009913F9"/>
    <w:rsid w:val="009915DA"/>
    <w:rsid w:val="00991992"/>
    <w:rsid w:val="0099317D"/>
    <w:rsid w:val="00994C72"/>
    <w:rsid w:val="00994D06"/>
    <w:rsid w:val="00995658"/>
    <w:rsid w:val="009962FF"/>
    <w:rsid w:val="00996726"/>
    <w:rsid w:val="00997134"/>
    <w:rsid w:val="00997355"/>
    <w:rsid w:val="009979FB"/>
    <w:rsid w:val="00997A3F"/>
    <w:rsid w:val="00997B35"/>
    <w:rsid w:val="00997DB1"/>
    <w:rsid w:val="009A0006"/>
    <w:rsid w:val="009A0977"/>
    <w:rsid w:val="009A0ADF"/>
    <w:rsid w:val="009A0BA2"/>
    <w:rsid w:val="009A1D99"/>
    <w:rsid w:val="009A5166"/>
    <w:rsid w:val="009A524D"/>
    <w:rsid w:val="009A5653"/>
    <w:rsid w:val="009A6905"/>
    <w:rsid w:val="009A6FBD"/>
    <w:rsid w:val="009B00DF"/>
    <w:rsid w:val="009B0253"/>
    <w:rsid w:val="009B02B7"/>
    <w:rsid w:val="009B1859"/>
    <w:rsid w:val="009B188A"/>
    <w:rsid w:val="009B2832"/>
    <w:rsid w:val="009B2CA3"/>
    <w:rsid w:val="009B3EA8"/>
    <w:rsid w:val="009B4F9B"/>
    <w:rsid w:val="009B53A0"/>
    <w:rsid w:val="009B5AE2"/>
    <w:rsid w:val="009B6141"/>
    <w:rsid w:val="009B6A2E"/>
    <w:rsid w:val="009B7D58"/>
    <w:rsid w:val="009C01EB"/>
    <w:rsid w:val="009C0307"/>
    <w:rsid w:val="009C0492"/>
    <w:rsid w:val="009C08F2"/>
    <w:rsid w:val="009C1245"/>
    <w:rsid w:val="009C13E4"/>
    <w:rsid w:val="009C1666"/>
    <w:rsid w:val="009C2576"/>
    <w:rsid w:val="009C2E02"/>
    <w:rsid w:val="009C3729"/>
    <w:rsid w:val="009C3950"/>
    <w:rsid w:val="009C3AF0"/>
    <w:rsid w:val="009C3CB9"/>
    <w:rsid w:val="009C3DEA"/>
    <w:rsid w:val="009C3FDD"/>
    <w:rsid w:val="009C4870"/>
    <w:rsid w:val="009C4C68"/>
    <w:rsid w:val="009C51B9"/>
    <w:rsid w:val="009C5354"/>
    <w:rsid w:val="009C5491"/>
    <w:rsid w:val="009C5723"/>
    <w:rsid w:val="009C5904"/>
    <w:rsid w:val="009C5C9A"/>
    <w:rsid w:val="009C5DB6"/>
    <w:rsid w:val="009C695A"/>
    <w:rsid w:val="009C7094"/>
    <w:rsid w:val="009C79F3"/>
    <w:rsid w:val="009C79FE"/>
    <w:rsid w:val="009C7E8E"/>
    <w:rsid w:val="009D0609"/>
    <w:rsid w:val="009D0930"/>
    <w:rsid w:val="009D0BC4"/>
    <w:rsid w:val="009D18AC"/>
    <w:rsid w:val="009D23A6"/>
    <w:rsid w:val="009D2F6C"/>
    <w:rsid w:val="009D4D3D"/>
    <w:rsid w:val="009D57E3"/>
    <w:rsid w:val="009D58AB"/>
    <w:rsid w:val="009D687C"/>
    <w:rsid w:val="009D6CAE"/>
    <w:rsid w:val="009D70BE"/>
    <w:rsid w:val="009D7C26"/>
    <w:rsid w:val="009E0911"/>
    <w:rsid w:val="009E095E"/>
    <w:rsid w:val="009E0C49"/>
    <w:rsid w:val="009E201F"/>
    <w:rsid w:val="009E2506"/>
    <w:rsid w:val="009E2695"/>
    <w:rsid w:val="009E2CB2"/>
    <w:rsid w:val="009E36CD"/>
    <w:rsid w:val="009E4184"/>
    <w:rsid w:val="009E43CC"/>
    <w:rsid w:val="009E4464"/>
    <w:rsid w:val="009E4C82"/>
    <w:rsid w:val="009E50D4"/>
    <w:rsid w:val="009E5928"/>
    <w:rsid w:val="009E5BD9"/>
    <w:rsid w:val="009E5D40"/>
    <w:rsid w:val="009E5F25"/>
    <w:rsid w:val="009E6F6B"/>
    <w:rsid w:val="009E7121"/>
    <w:rsid w:val="009E7CE9"/>
    <w:rsid w:val="009E7E74"/>
    <w:rsid w:val="009F0193"/>
    <w:rsid w:val="009F0A6B"/>
    <w:rsid w:val="009F0B7C"/>
    <w:rsid w:val="009F13AB"/>
    <w:rsid w:val="009F1B25"/>
    <w:rsid w:val="009F20D4"/>
    <w:rsid w:val="009F243B"/>
    <w:rsid w:val="009F29B5"/>
    <w:rsid w:val="009F44FB"/>
    <w:rsid w:val="009F451B"/>
    <w:rsid w:val="009F46A8"/>
    <w:rsid w:val="009F4A26"/>
    <w:rsid w:val="009F5B71"/>
    <w:rsid w:val="009F5BF1"/>
    <w:rsid w:val="009F606D"/>
    <w:rsid w:val="009F64E3"/>
    <w:rsid w:val="009F66C9"/>
    <w:rsid w:val="009F6F96"/>
    <w:rsid w:val="009F734D"/>
    <w:rsid w:val="009F7F9A"/>
    <w:rsid w:val="00A0020C"/>
    <w:rsid w:val="00A00DC1"/>
    <w:rsid w:val="00A01D46"/>
    <w:rsid w:val="00A02F75"/>
    <w:rsid w:val="00A03352"/>
    <w:rsid w:val="00A037A3"/>
    <w:rsid w:val="00A03E7B"/>
    <w:rsid w:val="00A048A2"/>
    <w:rsid w:val="00A053FF"/>
    <w:rsid w:val="00A05DA3"/>
    <w:rsid w:val="00A05E2B"/>
    <w:rsid w:val="00A060FD"/>
    <w:rsid w:val="00A07565"/>
    <w:rsid w:val="00A07609"/>
    <w:rsid w:val="00A079F4"/>
    <w:rsid w:val="00A11279"/>
    <w:rsid w:val="00A11438"/>
    <w:rsid w:val="00A11AE5"/>
    <w:rsid w:val="00A12027"/>
    <w:rsid w:val="00A12B2F"/>
    <w:rsid w:val="00A12DDC"/>
    <w:rsid w:val="00A13478"/>
    <w:rsid w:val="00A145CD"/>
    <w:rsid w:val="00A149F3"/>
    <w:rsid w:val="00A14C16"/>
    <w:rsid w:val="00A14DFF"/>
    <w:rsid w:val="00A1558F"/>
    <w:rsid w:val="00A15862"/>
    <w:rsid w:val="00A15975"/>
    <w:rsid w:val="00A15A11"/>
    <w:rsid w:val="00A16878"/>
    <w:rsid w:val="00A168C7"/>
    <w:rsid w:val="00A16D3A"/>
    <w:rsid w:val="00A17117"/>
    <w:rsid w:val="00A177EF"/>
    <w:rsid w:val="00A17D89"/>
    <w:rsid w:val="00A201CD"/>
    <w:rsid w:val="00A220C9"/>
    <w:rsid w:val="00A2262B"/>
    <w:rsid w:val="00A22953"/>
    <w:rsid w:val="00A22A01"/>
    <w:rsid w:val="00A2330D"/>
    <w:rsid w:val="00A2372C"/>
    <w:rsid w:val="00A23A8B"/>
    <w:rsid w:val="00A23C60"/>
    <w:rsid w:val="00A23FC3"/>
    <w:rsid w:val="00A245EF"/>
    <w:rsid w:val="00A24F76"/>
    <w:rsid w:val="00A2538E"/>
    <w:rsid w:val="00A25B92"/>
    <w:rsid w:val="00A25ECD"/>
    <w:rsid w:val="00A2607A"/>
    <w:rsid w:val="00A26449"/>
    <w:rsid w:val="00A27ED3"/>
    <w:rsid w:val="00A3003A"/>
    <w:rsid w:val="00A32572"/>
    <w:rsid w:val="00A33F92"/>
    <w:rsid w:val="00A343BE"/>
    <w:rsid w:val="00A3462B"/>
    <w:rsid w:val="00A346F8"/>
    <w:rsid w:val="00A34BC3"/>
    <w:rsid w:val="00A34CC9"/>
    <w:rsid w:val="00A35127"/>
    <w:rsid w:val="00A3519A"/>
    <w:rsid w:val="00A35563"/>
    <w:rsid w:val="00A35B1C"/>
    <w:rsid w:val="00A372B1"/>
    <w:rsid w:val="00A37CEF"/>
    <w:rsid w:val="00A4064D"/>
    <w:rsid w:val="00A41478"/>
    <w:rsid w:val="00A415D0"/>
    <w:rsid w:val="00A41D75"/>
    <w:rsid w:val="00A422E7"/>
    <w:rsid w:val="00A42533"/>
    <w:rsid w:val="00A42A22"/>
    <w:rsid w:val="00A42FBA"/>
    <w:rsid w:val="00A433A1"/>
    <w:rsid w:val="00A43436"/>
    <w:rsid w:val="00A436D6"/>
    <w:rsid w:val="00A4398D"/>
    <w:rsid w:val="00A43D0D"/>
    <w:rsid w:val="00A457C4"/>
    <w:rsid w:val="00A457E1"/>
    <w:rsid w:val="00A45A68"/>
    <w:rsid w:val="00A45BCE"/>
    <w:rsid w:val="00A45EEF"/>
    <w:rsid w:val="00A46A73"/>
    <w:rsid w:val="00A47D84"/>
    <w:rsid w:val="00A50180"/>
    <w:rsid w:val="00A51D3A"/>
    <w:rsid w:val="00A525DC"/>
    <w:rsid w:val="00A52774"/>
    <w:rsid w:val="00A52B4F"/>
    <w:rsid w:val="00A54BB3"/>
    <w:rsid w:val="00A55567"/>
    <w:rsid w:val="00A56B7F"/>
    <w:rsid w:val="00A570A8"/>
    <w:rsid w:val="00A578F5"/>
    <w:rsid w:val="00A5792B"/>
    <w:rsid w:val="00A57E2A"/>
    <w:rsid w:val="00A602AD"/>
    <w:rsid w:val="00A60BB9"/>
    <w:rsid w:val="00A60CF1"/>
    <w:rsid w:val="00A60EA7"/>
    <w:rsid w:val="00A6135E"/>
    <w:rsid w:val="00A61432"/>
    <w:rsid w:val="00A61D05"/>
    <w:rsid w:val="00A63FCF"/>
    <w:rsid w:val="00A64138"/>
    <w:rsid w:val="00A65502"/>
    <w:rsid w:val="00A66205"/>
    <w:rsid w:val="00A6634D"/>
    <w:rsid w:val="00A665DB"/>
    <w:rsid w:val="00A666FC"/>
    <w:rsid w:val="00A66FEE"/>
    <w:rsid w:val="00A67CDB"/>
    <w:rsid w:val="00A7015C"/>
    <w:rsid w:val="00A70DAD"/>
    <w:rsid w:val="00A71098"/>
    <w:rsid w:val="00A71141"/>
    <w:rsid w:val="00A7191D"/>
    <w:rsid w:val="00A71CFB"/>
    <w:rsid w:val="00A7200A"/>
    <w:rsid w:val="00A729FE"/>
    <w:rsid w:val="00A72A30"/>
    <w:rsid w:val="00A735AE"/>
    <w:rsid w:val="00A735BA"/>
    <w:rsid w:val="00A74477"/>
    <w:rsid w:val="00A74C79"/>
    <w:rsid w:val="00A74C95"/>
    <w:rsid w:val="00A756F4"/>
    <w:rsid w:val="00A764BB"/>
    <w:rsid w:val="00A7660D"/>
    <w:rsid w:val="00A772AB"/>
    <w:rsid w:val="00A80968"/>
    <w:rsid w:val="00A812C1"/>
    <w:rsid w:val="00A81409"/>
    <w:rsid w:val="00A814C3"/>
    <w:rsid w:val="00A82486"/>
    <w:rsid w:val="00A8252C"/>
    <w:rsid w:val="00A831E6"/>
    <w:rsid w:val="00A831EF"/>
    <w:rsid w:val="00A845B0"/>
    <w:rsid w:val="00A847AC"/>
    <w:rsid w:val="00A84806"/>
    <w:rsid w:val="00A84B07"/>
    <w:rsid w:val="00A84E12"/>
    <w:rsid w:val="00A84E93"/>
    <w:rsid w:val="00A85938"/>
    <w:rsid w:val="00A85A6C"/>
    <w:rsid w:val="00A85E2B"/>
    <w:rsid w:val="00A85FB0"/>
    <w:rsid w:val="00A85FC0"/>
    <w:rsid w:val="00A8606D"/>
    <w:rsid w:val="00A8679B"/>
    <w:rsid w:val="00A874C5"/>
    <w:rsid w:val="00A87772"/>
    <w:rsid w:val="00A90175"/>
    <w:rsid w:val="00A904F9"/>
    <w:rsid w:val="00A91093"/>
    <w:rsid w:val="00A91438"/>
    <w:rsid w:val="00A92BD8"/>
    <w:rsid w:val="00A92C3A"/>
    <w:rsid w:val="00A94ACE"/>
    <w:rsid w:val="00A94C16"/>
    <w:rsid w:val="00A95288"/>
    <w:rsid w:val="00A95835"/>
    <w:rsid w:val="00A958BD"/>
    <w:rsid w:val="00A9613B"/>
    <w:rsid w:val="00A96597"/>
    <w:rsid w:val="00A967D8"/>
    <w:rsid w:val="00A96F4F"/>
    <w:rsid w:val="00A96F54"/>
    <w:rsid w:val="00AA025E"/>
    <w:rsid w:val="00AA0462"/>
    <w:rsid w:val="00AA054F"/>
    <w:rsid w:val="00AA05A2"/>
    <w:rsid w:val="00AA0A3D"/>
    <w:rsid w:val="00AA0B4B"/>
    <w:rsid w:val="00AA0E7D"/>
    <w:rsid w:val="00AA12FA"/>
    <w:rsid w:val="00AA17B9"/>
    <w:rsid w:val="00AA190C"/>
    <w:rsid w:val="00AA1F11"/>
    <w:rsid w:val="00AA21EC"/>
    <w:rsid w:val="00AA2986"/>
    <w:rsid w:val="00AA3A4C"/>
    <w:rsid w:val="00AA4B46"/>
    <w:rsid w:val="00AA5472"/>
    <w:rsid w:val="00AA5864"/>
    <w:rsid w:val="00AA68DD"/>
    <w:rsid w:val="00AA6A38"/>
    <w:rsid w:val="00AA6C8C"/>
    <w:rsid w:val="00AA6FC3"/>
    <w:rsid w:val="00AA7EDF"/>
    <w:rsid w:val="00AB0B74"/>
    <w:rsid w:val="00AB0B9E"/>
    <w:rsid w:val="00AB1257"/>
    <w:rsid w:val="00AB1567"/>
    <w:rsid w:val="00AB29C4"/>
    <w:rsid w:val="00AB2CD7"/>
    <w:rsid w:val="00AB2EF8"/>
    <w:rsid w:val="00AB3B1F"/>
    <w:rsid w:val="00AB3FB6"/>
    <w:rsid w:val="00AB4648"/>
    <w:rsid w:val="00AB4DB8"/>
    <w:rsid w:val="00AB4FF1"/>
    <w:rsid w:val="00AB5063"/>
    <w:rsid w:val="00AB6727"/>
    <w:rsid w:val="00AB68DD"/>
    <w:rsid w:val="00AB68EA"/>
    <w:rsid w:val="00AB6A21"/>
    <w:rsid w:val="00AB6E32"/>
    <w:rsid w:val="00AB7665"/>
    <w:rsid w:val="00AB7D60"/>
    <w:rsid w:val="00AC0301"/>
    <w:rsid w:val="00AC0BF5"/>
    <w:rsid w:val="00AC1736"/>
    <w:rsid w:val="00AC20D6"/>
    <w:rsid w:val="00AC37B3"/>
    <w:rsid w:val="00AC3BD6"/>
    <w:rsid w:val="00AC3F3F"/>
    <w:rsid w:val="00AC4591"/>
    <w:rsid w:val="00AC51B4"/>
    <w:rsid w:val="00AC51D5"/>
    <w:rsid w:val="00AC6122"/>
    <w:rsid w:val="00AC682A"/>
    <w:rsid w:val="00AC6FF0"/>
    <w:rsid w:val="00AC740C"/>
    <w:rsid w:val="00AD0559"/>
    <w:rsid w:val="00AD0FBC"/>
    <w:rsid w:val="00AD0FE7"/>
    <w:rsid w:val="00AD12A4"/>
    <w:rsid w:val="00AD1C10"/>
    <w:rsid w:val="00AD1DE5"/>
    <w:rsid w:val="00AD20FC"/>
    <w:rsid w:val="00AD289B"/>
    <w:rsid w:val="00AD291F"/>
    <w:rsid w:val="00AD2D54"/>
    <w:rsid w:val="00AD3BB2"/>
    <w:rsid w:val="00AD3D12"/>
    <w:rsid w:val="00AD3D6C"/>
    <w:rsid w:val="00AD4534"/>
    <w:rsid w:val="00AD4DC1"/>
    <w:rsid w:val="00AD550C"/>
    <w:rsid w:val="00AD57EC"/>
    <w:rsid w:val="00AD59BB"/>
    <w:rsid w:val="00AD5C9B"/>
    <w:rsid w:val="00AD61AD"/>
    <w:rsid w:val="00AD6769"/>
    <w:rsid w:val="00AD685E"/>
    <w:rsid w:val="00AD6C5D"/>
    <w:rsid w:val="00AD6D6C"/>
    <w:rsid w:val="00AD6FA3"/>
    <w:rsid w:val="00AD705F"/>
    <w:rsid w:val="00AD7779"/>
    <w:rsid w:val="00AD7A19"/>
    <w:rsid w:val="00AD7AED"/>
    <w:rsid w:val="00AD7DEB"/>
    <w:rsid w:val="00AE01F7"/>
    <w:rsid w:val="00AE0313"/>
    <w:rsid w:val="00AE0534"/>
    <w:rsid w:val="00AE08E0"/>
    <w:rsid w:val="00AE0F77"/>
    <w:rsid w:val="00AE1242"/>
    <w:rsid w:val="00AE2131"/>
    <w:rsid w:val="00AE35BD"/>
    <w:rsid w:val="00AE452A"/>
    <w:rsid w:val="00AE57E0"/>
    <w:rsid w:val="00AE6514"/>
    <w:rsid w:val="00AE673C"/>
    <w:rsid w:val="00AE6D13"/>
    <w:rsid w:val="00AF012E"/>
    <w:rsid w:val="00AF0AAA"/>
    <w:rsid w:val="00AF0C3D"/>
    <w:rsid w:val="00AF0D29"/>
    <w:rsid w:val="00AF1DF1"/>
    <w:rsid w:val="00AF24EB"/>
    <w:rsid w:val="00AF27DE"/>
    <w:rsid w:val="00AF389B"/>
    <w:rsid w:val="00AF47E6"/>
    <w:rsid w:val="00AF4B43"/>
    <w:rsid w:val="00AF5CE6"/>
    <w:rsid w:val="00AF65C4"/>
    <w:rsid w:val="00AF7177"/>
    <w:rsid w:val="00AF7329"/>
    <w:rsid w:val="00AF7646"/>
    <w:rsid w:val="00B00178"/>
    <w:rsid w:val="00B00266"/>
    <w:rsid w:val="00B004B1"/>
    <w:rsid w:val="00B00A96"/>
    <w:rsid w:val="00B00D0C"/>
    <w:rsid w:val="00B00D93"/>
    <w:rsid w:val="00B01283"/>
    <w:rsid w:val="00B01732"/>
    <w:rsid w:val="00B0190B"/>
    <w:rsid w:val="00B01B86"/>
    <w:rsid w:val="00B01C42"/>
    <w:rsid w:val="00B02002"/>
    <w:rsid w:val="00B0207F"/>
    <w:rsid w:val="00B02A4A"/>
    <w:rsid w:val="00B02D5F"/>
    <w:rsid w:val="00B03540"/>
    <w:rsid w:val="00B04404"/>
    <w:rsid w:val="00B0475C"/>
    <w:rsid w:val="00B050F8"/>
    <w:rsid w:val="00B0530C"/>
    <w:rsid w:val="00B053E6"/>
    <w:rsid w:val="00B06201"/>
    <w:rsid w:val="00B06761"/>
    <w:rsid w:val="00B07603"/>
    <w:rsid w:val="00B07940"/>
    <w:rsid w:val="00B1011A"/>
    <w:rsid w:val="00B109CE"/>
    <w:rsid w:val="00B10F99"/>
    <w:rsid w:val="00B1105C"/>
    <w:rsid w:val="00B11227"/>
    <w:rsid w:val="00B1245E"/>
    <w:rsid w:val="00B13122"/>
    <w:rsid w:val="00B142B5"/>
    <w:rsid w:val="00B144A2"/>
    <w:rsid w:val="00B1474D"/>
    <w:rsid w:val="00B15647"/>
    <w:rsid w:val="00B15772"/>
    <w:rsid w:val="00B15A37"/>
    <w:rsid w:val="00B15F8B"/>
    <w:rsid w:val="00B166CE"/>
    <w:rsid w:val="00B16946"/>
    <w:rsid w:val="00B17188"/>
    <w:rsid w:val="00B17358"/>
    <w:rsid w:val="00B1773D"/>
    <w:rsid w:val="00B20218"/>
    <w:rsid w:val="00B20A0B"/>
    <w:rsid w:val="00B20C78"/>
    <w:rsid w:val="00B20D81"/>
    <w:rsid w:val="00B211EA"/>
    <w:rsid w:val="00B21A2B"/>
    <w:rsid w:val="00B21A56"/>
    <w:rsid w:val="00B21FC2"/>
    <w:rsid w:val="00B22B0F"/>
    <w:rsid w:val="00B22B24"/>
    <w:rsid w:val="00B22B8A"/>
    <w:rsid w:val="00B239C7"/>
    <w:rsid w:val="00B23CFB"/>
    <w:rsid w:val="00B244F8"/>
    <w:rsid w:val="00B24966"/>
    <w:rsid w:val="00B24BC4"/>
    <w:rsid w:val="00B2504C"/>
    <w:rsid w:val="00B25DF6"/>
    <w:rsid w:val="00B2609F"/>
    <w:rsid w:val="00B261D8"/>
    <w:rsid w:val="00B26771"/>
    <w:rsid w:val="00B26870"/>
    <w:rsid w:val="00B26C11"/>
    <w:rsid w:val="00B26C4A"/>
    <w:rsid w:val="00B26D5C"/>
    <w:rsid w:val="00B27123"/>
    <w:rsid w:val="00B27917"/>
    <w:rsid w:val="00B27E9D"/>
    <w:rsid w:val="00B310AE"/>
    <w:rsid w:val="00B3123B"/>
    <w:rsid w:val="00B31536"/>
    <w:rsid w:val="00B31C95"/>
    <w:rsid w:val="00B31D91"/>
    <w:rsid w:val="00B32866"/>
    <w:rsid w:val="00B32B34"/>
    <w:rsid w:val="00B34187"/>
    <w:rsid w:val="00B343A9"/>
    <w:rsid w:val="00B35B60"/>
    <w:rsid w:val="00B35CE6"/>
    <w:rsid w:val="00B36126"/>
    <w:rsid w:val="00B378A5"/>
    <w:rsid w:val="00B403FF"/>
    <w:rsid w:val="00B40538"/>
    <w:rsid w:val="00B40557"/>
    <w:rsid w:val="00B408AC"/>
    <w:rsid w:val="00B415D4"/>
    <w:rsid w:val="00B42CA7"/>
    <w:rsid w:val="00B43246"/>
    <w:rsid w:val="00B43B50"/>
    <w:rsid w:val="00B43C82"/>
    <w:rsid w:val="00B43CBB"/>
    <w:rsid w:val="00B45591"/>
    <w:rsid w:val="00B46016"/>
    <w:rsid w:val="00B46CA1"/>
    <w:rsid w:val="00B4761B"/>
    <w:rsid w:val="00B4783F"/>
    <w:rsid w:val="00B47F9C"/>
    <w:rsid w:val="00B5040B"/>
    <w:rsid w:val="00B50821"/>
    <w:rsid w:val="00B517C4"/>
    <w:rsid w:val="00B51A88"/>
    <w:rsid w:val="00B52F34"/>
    <w:rsid w:val="00B54275"/>
    <w:rsid w:val="00B54630"/>
    <w:rsid w:val="00B54786"/>
    <w:rsid w:val="00B54879"/>
    <w:rsid w:val="00B55775"/>
    <w:rsid w:val="00B56388"/>
    <w:rsid w:val="00B5677C"/>
    <w:rsid w:val="00B567C4"/>
    <w:rsid w:val="00B5722A"/>
    <w:rsid w:val="00B602BB"/>
    <w:rsid w:val="00B6157D"/>
    <w:rsid w:val="00B61DC5"/>
    <w:rsid w:val="00B61E9E"/>
    <w:rsid w:val="00B621AB"/>
    <w:rsid w:val="00B62AF6"/>
    <w:rsid w:val="00B62DBF"/>
    <w:rsid w:val="00B633EC"/>
    <w:rsid w:val="00B63507"/>
    <w:rsid w:val="00B639C8"/>
    <w:rsid w:val="00B64BC7"/>
    <w:rsid w:val="00B6522F"/>
    <w:rsid w:val="00B653EC"/>
    <w:rsid w:val="00B65456"/>
    <w:rsid w:val="00B65DD6"/>
    <w:rsid w:val="00B6606E"/>
    <w:rsid w:val="00B662E0"/>
    <w:rsid w:val="00B66324"/>
    <w:rsid w:val="00B67040"/>
    <w:rsid w:val="00B67292"/>
    <w:rsid w:val="00B67578"/>
    <w:rsid w:val="00B67E68"/>
    <w:rsid w:val="00B7006F"/>
    <w:rsid w:val="00B7037A"/>
    <w:rsid w:val="00B7219F"/>
    <w:rsid w:val="00B724B3"/>
    <w:rsid w:val="00B72758"/>
    <w:rsid w:val="00B73634"/>
    <w:rsid w:val="00B73FE5"/>
    <w:rsid w:val="00B74DDD"/>
    <w:rsid w:val="00B74F12"/>
    <w:rsid w:val="00B75312"/>
    <w:rsid w:val="00B76DEA"/>
    <w:rsid w:val="00B77787"/>
    <w:rsid w:val="00B777EB"/>
    <w:rsid w:val="00B77AD8"/>
    <w:rsid w:val="00B77D58"/>
    <w:rsid w:val="00B81A40"/>
    <w:rsid w:val="00B81CC8"/>
    <w:rsid w:val="00B8263D"/>
    <w:rsid w:val="00B8268B"/>
    <w:rsid w:val="00B8315B"/>
    <w:rsid w:val="00B8317F"/>
    <w:rsid w:val="00B835D9"/>
    <w:rsid w:val="00B835EC"/>
    <w:rsid w:val="00B83D6A"/>
    <w:rsid w:val="00B8441E"/>
    <w:rsid w:val="00B855FC"/>
    <w:rsid w:val="00B85A79"/>
    <w:rsid w:val="00B860D9"/>
    <w:rsid w:val="00B8643D"/>
    <w:rsid w:val="00B86A2E"/>
    <w:rsid w:val="00B87414"/>
    <w:rsid w:val="00B87E04"/>
    <w:rsid w:val="00B87E55"/>
    <w:rsid w:val="00B9045E"/>
    <w:rsid w:val="00B915F0"/>
    <w:rsid w:val="00B91A25"/>
    <w:rsid w:val="00B91D2A"/>
    <w:rsid w:val="00B91D30"/>
    <w:rsid w:val="00B922DC"/>
    <w:rsid w:val="00B92F53"/>
    <w:rsid w:val="00B94528"/>
    <w:rsid w:val="00B9473C"/>
    <w:rsid w:val="00B952D6"/>
    <w:rsid w:val="00B952D7"/>
    <w:rsid w:val="00B9587F"/>
    <w:rsid w:val="00B96C2E"/>
    <w:rsid w:val="00B96D92"/>
    <w:rsid w:val="00BA02F2"/>
    <w:rsid w:val="00BA07ED"/>
    <w:rsid w:val="00BA1681"/>
    <w:rsid w:val="00BA21BA"/>
    <w:rsid w:val="00BA25F0"/>
    <w:rsid w:val="00BA2870"/>
    <w:rsid w:val="00BA2DDB"/>
    <w:rsid w:val="00BA2DF5"/>
    <w:rsid w:val="00BA344A"/>
    <w:rsid w:val="00BA36E8"/>
    <w:rsid w:val="00BA5103"/>
    <w:rsid w:val="00BA5AD1"/>
    <w:rsid w:val="00BA5B56"/>
    <w:rsid w:val="00BA6303"/>
    <w:rsid w:val="00BA6866"/>
    <w:rsid w:val="00BA70A5"/>
    <w:rsid w:val="00BA7716"/>
    <w:rsid w:val="00BB01C3"/>
    <w:rsid w:val="00BB08F2"/>
    <w:rsid w:val="00BB095C"/>
    <w:rsid w:val="00BB09B9"/>
    <w:rsid w:val="00BB1980"/>
    <w:rsid w:val="00BB1FCC"/>
    <w:rsid w:val="00BB2140"/>
    <w:rsid w:val="00BB2BC2"/>
    <w:rsid w:val="00BB2FF7"/>
    <w:rsid w:val="00BB33D1"/>
    <w:rsid w:val="00BB39FB"/>
    <w:rsid w:val="00BB3B87"/>
    <w:rsid w:val="00BB3E7E"/>
    <w:rsid w:val="00BB568F"/>
    <w:rsid w:val="00BB62B7"/>
    <w:rsid w:val="00BB659D"/>
    <w:rsid w:val="00BB6ED0"/>
    <w:rsid w:val="00BB6F7C"/>
    <w:rsid w:val="00BC1765"/>
    <w:rsid w:val="00BC2639"/>
    <w:rsid w:val="00BC264E"/>
    <w:rsid w:val="00BC294F"/>
    <w:rsid w:val="00BC2ACB"/>
    <w:rsid w:val="00BC2BDE"/>
    <w:rsid w:val="00BC3690"/>
    <w:rsid w:val="00BC3A6B"/>
    <w:rsid w:val="00BC3B3C"/>
    <w:rsid w:val="00BC4E1F"/>
    <w:rsid w:val="00BC5141"/>
    <w:rsid w:val="00BC5696"/>
    <w:rsid w:val="00BC7242"/>
    <w:rsid w:val="00BD0194"/>
    <w:rsid w:val="00BD0204"/>
    <w:rsid w:val="00BD0699"/>
    <w:rsid w:val="00BD0828"/>
    <w:rsid w:val="00BD09F2"/>
    <w:rsid w:val="00BD131C"/>
    <w:rsid w:val="00BD176D"/>
    <w:rsid w:val="00BD1FB1"/>
    <w:rsid w:val="00BD3C32"/>
    <w:rsid w:val="00BD4A5F"/>
    <w:rsid w:val="00BD56FF"/>
    <w:rsid w:val="00BD5967"/>
    <w:rsid w:val="00BD5B29"/>
    <w:rsid w:val="00BD5C4B"/>
    <w:rsid w:val="00BD61E4"/>
    <w:rsid w:val="00BD65EB"/>
    <w:rsid w:val="00BD6AB8"/>
    <w:rsid w:val="00BD73EB"/>
    <w:rsid w:val="00BD7641"/>
    <w:rsid w:val="00BE0666"/>
    <w:rsid w:val="00BE0956"/>
    <w:rsid w:val="00BE0E8F"/>
    <w:rsid w:val="00BE1250"/>
    <w:rsid w:val="00BE1700"/>
    <w:rsid w:val="00BE188A"/>
    <w:rsid w:val="00BE22EB"/>
    <w:rsid w:val="00BE242D"/>
    <w:rsid w:val="00BE28CA"/>
    <w:rsid w:val="00BE2AA3"/>
    <w:rsid w:val="00BE327A"/>
    <w:rsid w:val="00BE4718"/>
    <w:rsid w:val="00BE5AC0"/>
    <w:rsid w:val="00BE64FD"/>
    <w:rsid w:val="00BE65C1"/>
    <w:rsid w:val="00BE7120"/>
    <w:rsid w:val="00BE77DD"/>
    <w:rsid w:val="00BE7A11"/>
    <w:rsid w:val="00BE7A40"/>
    <w:rsid w:val="00BF0387"/>
    <w:rsid w:val="00BF056E"/>
    <w:rsid w:val="00BF0759"/>
    <w:rsid w:val="00BF0BF2"/>
    <w:rsid w:val="00BF0D0B"/>
    <w:rsid w:val="00BF1A23"/>
    <w:rsid w:val="00BF2377"/>
    <w:rsid w:val="00BF291C"/>
    <w:rsid w:val="00BF2BA0"/>
    <w:rsid w:val="00BF38AC"/>
    <w:rsid w:val="00BF38CC"/>
    <w:rsid w:val="00BF429D"/>
    <w:rsid w:val="00BF5AC4"/>
    <w:rsid w:val="00BF6CC0"/>
    <w:rsid w:val="00C0115A"/>
    <w:rsid w:val="00C01A75"/>
    <w:rsid w:val="00C02139"/>
    <w:rsid w:val="00C02715"/>
    <w:rsid w:val="00C0347D"/>
    <w:rsid w:val="00C0347E"/>
    <w:rsid w:val="00C03795"/>
    <w:rsid w:val="00C03DFC"/>
    <w:rsid w:val="00C041FD"/>
    <w:rsid w:val="00C046BD"/>
    <w:rsid w:val="00C04BF0"/>
    <w:rsid w:val="00C056CB"/>
    <w:rsid w:val="00C0594E"/>
    <w:rsid w:val="00C05A0A"/>
    <w:rsid w:val="00C05C70"/>
    <w:rsid w:val="00C05E06"/>
    <w:rsid w:val="00C0642E"/>
    <w:rsid w:val="00C06F08"/>
    <w:rsid w:val="00C06FC7"/>
    <w:rsid w:val="00C07F6B"/>
    <w:rsid w:val="00C10267"/>
    <w:rsid w:val="00C12407"/>
    <w:rsid w:val="00C125FE"/>
    <w:rsid w:val="00C12B7F"/>
    <w:rsid w:val="00C13269"/>
    <w:rsid w:val="00C133A6"/>
    <w:rsid w:val="00C1401D"/>
    <w:rsid w:val="00C143F3"/>
    <w:rsid w:val="00C14885"/>
    <w:rsid w:val="00C14F68"/>
    <w:rsid w:val="00C16C18"/>
    <w:rsid w:val="00C16D75"/>
    <w:rsid w:val="00C16E5C"/>
    <w:rsid w:val="00C17578"/>
    <w:rsid w:val="00C17625"/>
    <w:rsid w:val="00C17637"/>
    <w:rsid w:val="00C1785E"/>
    <w:rsid w:val="00C179EF"/>
    <w:rsid w:val="00C17AC2"/>
    <w:rsid w:val="00C20113"/>
    <w:rsid w:val="00C2065B"/>
    <w:rsid w:val="00C2172D"/>
    <w:rsid w:val="00C217F9"/>
    <w:rsid w:val="00C21EAA"/>
    <w:rsid w:val="00C22277"/>
    <w:rsid w:val="00C22288"/>
    <w:rsid w:val="00C22F7C"/>
    <w:rsid w:val="00C2303B"/>
    <w:rsid w:val="00C234FE"/>
    <w:rsid w:val="00C2369A"/>
    <w:rsid w:val="00C2447E"/>
    <w:rsid w:val="00C24A77"/>
    <w:rsid w:val="00C26289"/>
    <w:rsid w:val="00C26E3B"/>
    <w:rsid w:val="00C274C9"/>
    <w:rsid w:val="00C27DC9"/>
    <w:rsid w:val="00C30667"/>
    <w:rsid w:val="00C30D01"/>
    <w:rsid w:val="00C324E3"/>
    <w:rsid w:val="00C327D4"/>
    <w:rsid w:val="00C33246"/>
    <w:rsid w:val="00C33A2F"/>
    <w:rsid w:val="00C33C15"/>
    <w:rsid w:val="00C351B2"/>
    <w:rsid w:val="00C35A7C"/>
    <w:rsid w:val="00C36132"/>
    <w:rsid w:val="00C3648B"/>
    <w:rsid w:val="00C37663"/>
    <w:rsid w:val="00C3778C"/>
    <w:rsid w:val="00C37F25"/>
    <w:rsid w:val="00C4007C"/>
    <w:rsid w:val="00C402D9"/>
    <w:rsid w:val="00C4090E"/>
    <w:rsid w:val="00C41084"/>
    <w:rsid w:val="00C420B7"/>
    <w:rsid w:val="00C424BC"/>
    <w:rsid w:val="00C425E8"/>
    <w:rsid w:val="00C4260E"/>
    <w:rsid w:val="00C42EED"/>
    <w:rsid w:val="00C44449"/>
    <w:rsid w:val="00C44D02"/>
    <w:rsid w:val="00C461B1"/>
    <w:rsid w:val="00C47011"/>
    <w:rsid w:val="00C47357"/>
    <w:rsid w:val="00C475CB"/>
    <w:rsid w:val="00C47EE1"/>
    <w:rsid w:val="00C50362"/>
    <w:rsid w:val="00C50796"/>
    <w:rsid w:val="00C50AAC"/>
    <w:rsid w:val="00C51708"/>
    <w:rsid w:val="00C51743"/>
    <w:rsid w:val="00C53450"/>
    <w:rsid w:val="00C53BB0"/>
    <w:rsid w:val="00C543BC"/>
    <w:rsid w:val="00C556AC"/>
    <w:rsid w:val="00C55F4E"/>
    <w:rsid w:val="00C5637C"/>
    <w:rsid w:val="00C563CF"/>
    <w:rsid w:val="00C567E5"/>
    <w:rsid w:val="00C57477"/>
    <w:rsid w:val="00C60333"/>
    <w:rsid w:val="00C60362"/>
    <w:rsid w:val="00C60497"/>
    <w:rsid w:val="00C61B29"/>
    <w:rsid w:val="00C62A9D"/>
    <w:rsid w:val="00C64453"/>
    <w:rsid w:val="00C64455"/>
    <w:rsid w:val="00C6536A"/>
    <w:rsid w:val="00C6562B"/>
    <w:rsid w:val="00C65EDB"/>
    <w:rsid w:val="00C65FA4"/>
    <w:rsid w:val="00C6657D"/>
    <w:rsid w:val="00C674A2"/>
    <w:rsid w:val="00C6789A"/>
    <w:rsid w:val="00C70516"/>
    <w:rsid w:val="00C71127"/>
    <w:rsid w:val="00C71842"/>
    <w:rsid w:val="00C719FF"/>
    <w:rsid w:val="00C726C2"/>
    <w:rsid w:val="00C72F26"/>
    <w:rsid w:val="00C72FDC"/>
    <w:rsid w:val="00C73A8D"/>
    <w:rsid w:val="00C7423E"/>
    <w:rsid w:val="00C742EB"/>
    <w:rsid w:val="00C7491A"/>
    <w:rsid w:val="00C75080"/>
    <w:rsid w:val="00C7529D"/>
    <w:rsid w:val="00C75BD5"/>
    <w:rsid w:val="00C77352"/>
    <w:rsid w:val="00C77494"/>
    <w:rsid w:val="00C77911"/>
    <w:rsid w:val="00C77F69"/>
    <w:rsid w:val="00C8006A"/>
    <w:rsid w:val="00C80307"/>
    <w:rsid w:val="00C808FE"/>
    <w:rsid w:val="00C80B81"/>
    <w:rsid w:val="00C813BA"/>
    <w:rsid w:val="00C817E6"/>
    <w:rsid w:val="00C82BD4"/>
    <w:rsid w:val="00C82F4E"/>
    <w:rsid w:val="00C835AB"/>
    <w:rsid w:val="00C839C4"/>
    <w:rsid w:val="00C843C5"/>
    <w:rsid w:val="00C84567"/>
    <w:rsid w:val="00C85DAB"/>
    <w:rsid w:val="00C86128"/>
    <w:rsid w:val="00C869C5"/>
    <w:rsid w:val="00C86F26"/>
    <w:rsid w:val="00C87587"/>
    <w:rsid w:val="00C87664"/>
    <w:rsid w:val="00C87A33"/>
    <w:rsid w:val="00C87CD5"/>
    <w:rsid w:val="00C904EE"/>
    <w:rsid w:val="00C90B38"/>
    <w:rsid w:val="00C90CCA"/>
    <w:rsid w:val="00C91D02"/>
    <w:rsid w:val="00C91E33"/>
    <w:rsid w:val="00C91FDA"/>
    <w:rsid w:val="00C932D5"/>
    <w:rsid w:val="00C93D92"/>
    <w:rsid w:val="00C93F27"/>
    <w:rsid w:val="00C944F6"/>
    <w:rsid w:val="00C9524D"/>
    <w:rsid w:val="00C95D52"/>
    <w:rsid w:val="00C95F76"/>
    <w:rsid w:val="00C960BE"/>
    <w:rsid w:val="00C96CE7"/>
    <w:rsid w:val="00C971D0"/>
    <w:rsid w:val="00CA0892"/>
    <w:rsid w:val="00CA0C5F"/>
    <w:rsid w:val="00CA0E44"/>
    <w:rsid w:val="00CA1245"/>
    <w:rsid w:val="00CA138A"/>
    <w:rsid w:val="00CA229E"/>
    <w:rsid w:val="00CA2519"/>
    <w:rsid w:val="00CA4826"/>
    <w:rsid w:val="00CA4908"/>
    <w:rsid w:val="00CA4A21"/>
    <w:rsid w:val="00CA4A98"/>
    <w:rsid w:val="00CA51FF"/>
    <w:rsid w:val="00CA596D"/>
    <w:rsid w:val="00CA5BE7"/>
    <w:rsid w:val="00CA6067"/>
    <w:rsid w:val="00CA7077"/>
    <w:rsid w:val="00CB141D"/>
    <w:rsid w:val="00CB19D7"/>
    <w:rsid w:val="00CB1AA5"/>
    <w:rsid w:val="00CB43E6"/>
    <w:rsid w:val="00CB4949"/>
    <w:rsid w:val="00CB5D6B"/>
    <w:rsid w:val="00CB5E64"/>
    <w:rsid w:val="00CB6680"/>
    <w:rsid w:val="00CB6928"/>
    <w:rsid w:val="00CB6F4F"/>
    <w:rsid w:val="00CB7AB6"/>
    <w:rsid w:val="00CB7C1D"/>
    <w:rsid w:val="00CC032F"/>
    <w:rsid w:val="00CC0473"/>
    <w:rsid w:val="00CC0897"/>
    <w:rsid w:val="00CC0E36"/>
    <w:rsid w:val="00CC1011"/>
    <w:rsid w:val="00CC272C"/>
    <w:rsid w:val="00CC2B61"/>
    <w:rsid w:val="00CC2BDE"/>
    <w:rsid w:val="00CC3913"/>
    <w:rsid w:val="00CC47C0"/>
    <w:rsid w:val="00CC47CD"/>
    <w:rsid w:val="00CC4BB5"/>
    <w:rsid w:val="00CC4C03"/>
    <w:rsid w:val="00CC60BA"/>
    <w:rsid w:val="00CC73D7"/>
    <w:rsid w:val="00CC7BE3"/>
    <w:rsid w:val="00CD0226"/>
    <w:rsid w:val="00CD02EE"/>
    <w:rsid w:val="00CD02F2"/>
    <w:rsid w:val="00CD0810"/>
    <w:rsid w:val="00CD0875"/>
    <w:rsid w:val="00CD1A52"/>
    <w:rsid w:val="00CD27B8"/>
    <w:rsid w:val="00CD2C64"/>
    <w:rsid w:val="00CD3073"/>
    <w:rsid w:val="00CD3A3E"/>
    <w:rsid w:val="00CD3CB9"/>
    <w:rsid w:val="00CD547A"/>
    <w:rsid w:val="00CD55A3"/>
    <w:rsid w:val="00CD5847"/>
    <w:rsid w:val="00CD6541"/>
    <w:rsid w:val="00CD677A"/>
    <w:rsid w:val="00CD6A2E"/>
    <w:rsid w:val="00CD7139"/>
    <w:rsid w:val="00CD7DDA"/>
    <w:rsid w:val="00CE0103"/>
    <w:rsid w:val="00CE0A62"/>
    <w:rsid w:val="00CE0AE5"/>
    <w:rsid w:val="00CE0C61"/>
    <w:rsid w:val="00CE10AB"/>
    <w:rsid w:val="00CE1AE2"/>
    <w:rsid w:val="00CE1F9B"/>
    <w:rsid w:val="00CE24D9"/>
    <w:rsid w:val="00CE2C37"/>
    <w:rsid w:val="00CE2CAB"/>
    <w:rsid w:val="00CE31FE"/>
    <w:rsid w:val="00CE3238"/>
    <w:rsid w:val="00CE3310"/>
    <w:rsid w:val="00CE3411"/>
    <w:rsid w:val="00CE438D"/>
    <w:rsid w:val="00CE44B3"/>
    <w:rsid w:val="00CE50F6"/>
    <w:rsid w:val="00CE5182"/>
    <w:rsid w:val="00CE54B8"/>
    <w:rsid w:val="00CE5E8E"/>
    <w:rsid w:val="00CE644E"/>
    <w:rsid w:val="00CE67A3"/>
    <w:rsid w:val="00CE6FAC"/>
    <w:rsid w:val="00CF0157"/>
    <w:rsid w:val="00CF0A85"/>
    <w:rsid w:val="00CF17F5"/>
    <w:rsid w:val="00CF2708"/>
    <w:rsid w:val="00CF772C"/>
    <w:rsid w:val="00D004DD"/>
    <w:rsid w:val="00D0152D"/>
    <w:rsid w:val="00D016C5"/>
    <w:rsid w:val="00D01DDF"/>
    <w:rsid w:val="00D01F8C"/>
    <w:rsid w:val="00D01F8D"/>
    <w:rsid w:val="00D0239B"/>
    <w:rsid w:val="00D025FE"/>
    <w:rsid w:val="00D02D44"/>
    <w:rsid w:val="00D03202"/>
    <w:rsid w:val="00D03A09"/>
    <w:rsid w:val="00D03B42"/>
    <w:rsid w:val="00D03E44"/>
    <w:rsid w:val="00D0460D"/>
    <w:rsid w:val="00D047F5"/>
    <w:rsid w:val="00D0696B"/>
    <w:rsid w:val="00D07B16"/>
    <w:rsid w:val="00D07B24"/>
    <w:rsid w:val="00D07B64"/>
    <w:rsid w:val="00D07EE9"/>
    <w:rsid w:val="00D107D7"/>
    <w:rsid w:val="00D11179"/>
    <w:rsid w:val="00D11370"/>
    <w:rsid w:val="00D11F8F"/>
    <w:rsid w:val="00D1280E"/>
    <w:rsid w:val="00D12BDF"/>
    <w:rsid w:val="00D1303E"/>
    <w:rsid w:val="00D13D12"/>
    <w:rsid w:val="00D140B1"/>
    <w:rsid w:val="00D140DC"/>
    <w:rsid w:val="00D1508D"/>
    <w:rsid w:val="00D152C0"/>
    <w:rsid w:val="00D15643"/>
    <w:rsid w:val="00D16350"/>
    <w:rsid w:val="00D165D7"/>
    <w:rsid w:val="00D16B9C"/>
    <w:rsid w:val="00D172B6"/>
    <w:rsid w:val="00D1733D"/>
    <w:rsid w:val="00D17E6F"/>
    <w:rsid w:val="00D20027"/>
    <w:rsid w:val="00D204B1"/>
    <w:rsid w:val="00D21312"/>
    <w:rsid w:val="00D221C8"/>
    <w:rsid w:val="00D232B7"/>
    <w:rsid w:val="00D2438E"/>
    <w:rsid w:val="00D2455B"/>
    <w:rsid w:val="00D246E6"/>
    <w:rsid w:val="00D251D5"/>
    <w:rsid w:val="00D25835"/>
    <w:rsid w:val="00D26142"/>
    <w:rsid w:val="00D262E2"/>
    <w:rsid w:val="00D30320"/>
    <w:rsid w:val="00D3044B"/>
    <w:rsid w:val="00D313C1"/>
    <w:rsid w:val="00D319B4"/>
    <w:rsid w:val="00D32578"/>
    <w:rsid w:val="00D33579"/>
    <w:rsid w:val="00D340E5"/>
    <w:rsid w:val="00D3441E"/>
    <w:rsid w:val="00D3553F"/>
    <w:rsid w:val="00D3554A"/>
    <w:rsid w:val="00D35BA2"/>
    <w:rsid w:val="00D35BB2"/>
    <w:rsid w:val="00D3633E"/>
    <w:rsid w:val="00D3708E"/>
    <w:rsid w:val="00D37310"/>
    <w:rsid w:val="00D3747C"/>
    <w:rsid w:val="00D37540"/>
    <w:rsid w:val="00D37CA9"/>
    <w:rsid w:val="00D37DCE"/>
    <w:rsid w:val="00D40839"/>
    <w:rsid w:val="00D411AE"/>
    <w:rsid w:val="00D4136A"/>
    <w:rsid w:val="00D413DC"/>
    <w:rsid w:val="00D419A4"/>
    <w:rsid w:val="00D41A6A"/>
    <w:rsid w:val="00D41A74"/>
    <w:rsid w:val="00D41E74"/>
    <w:rsid w:val="00D41F28"/>
    <w:rsid w:val="00D4318D"/>
    <w:rsid w:val="00D43211"/>
    <w:rsid w:val="00D436CC"/>
    <w:rsid w:val="00D43884"/>
    <w:rsid w:val="00D4428F"/>
    <w:rsid w:val="00D44912"/>
    <w:rsid w:val="00D45214"/>
    <w:rsid w:val="00D457F7"/>
    <w:rsid w:val="00D45E26"/>
    <w:rsid w:val="00D4626D"/>
    <w:rsid w:val="00D46312"/>
    <w:rsid w:val="00D4644C"/>
    <w:rsid w:val="00D4683F"/>
    <w:rsid w:val="00D46DFC"/>
    <w:rsid w:val="00D47178"/>
    <w:rsid w:val="00D47357"/>
    <w:rsid w:val="00D502EE"/>
    <w:rsid w:val="00D503F0"/>
    <w:rsid w:val="00D50EFA"/>
    <w:rsid w:val="00D51466"/>
    <w:rsid w:val="00D537F8"/>
    <w:rsid w:val="00D55309"/>
    <w:rsid w:val="00D555D6"/>
    <w:rsid w:val="00D55B7F"/>
    <w:rsid w:val="00D56218"/>
    <w:rsid w:val="00D56231"/>
    <w:rsid w:val="00D57007"/>
    <w:rsid w:val="00D574C6"/>
    <w:rsid w:val="00D57DF0"/>
    <w:rsid w:val="00D57F93"/>
    <w:rsid w:val="00D60778"/>
    <w:rsid w:val="00D60BDA"/>
    <w:rsid w:val="00D60C4F"/>
    <w:rsid w:val="00D614D1"/>
    <w:rsid w:val="00D61864"/>
    <w:rsid w:val="00D619BA"/>
    <w:rsid w:val="00D61AE4"/>
    <w:rsid w:val="00D61E9F"/>
    <w:rsid w:val="00D622D8"/>
    <w:rsid w:val="00D63766"/>
    <w:rsid w:val="00D63E3C"/>
    <w:rsid w:val="00D661FC"/>
    <w:rsid w:val="00D6696D"/>
    <w:rsid w:val="00D66C4D"/>
    <w:rsid w:val="00D66D0E"/>
    <w:rsid w:val="00D66ED6"/>
    <w:rsid w:val="00D66F75"/>
    <w:rsid w:val="00D67399"/>
    <w:rsid w:val="00D67779"/>
    <w:rsid w:val="00D67BC6"/>
    <w:rsid w:val="00D702A4"/>
    <w:rsid w:val="00D704C3"/>
    <w:rsid w:val="00D70E60"/>
    <w:rsid w:val="00D70E7E"/>
    <w:rsid w:val="00D715DF"/>
    <w:rsid w:val="00D71E51"/>
    <w:rsid w:val="00D73C35"/>
    <w:rsid w:val="00D73D76"/>
    <w:rsid w:val="00D74E85"/>
    <w:rsid w:val="00D7644A"/>
    <w:rsid w:val="00D76988"/>
    <w:rsid w:val="00D76D7D"/>
    <w:rsid w:val="00D775FB"/>
    <w:rsid w:val="00D77F05"/>
    <w:rsid w:val="00D800AA"/>
    <w:rsid w:val="00D80257"/>
    <w:rsid w:val="00D80391"/>
    <w:rsid w:val="00D80C1A"/>
    <w:rsid w:val="00D81E03"/>
    <w:rsid w:val="00D82159"/>
    <w:rsid w:val="00D82218"/>
    <w:rsid w:val="00D82E81"/>
    <w:rsid w:val="00D82F8D"/>
    <w:rsid w:val="00D8309B"/>
    <w:rsid w:val="00D832A2"/>
    <w:rsid w:val="00D83552"/>
    <w:rsid w:val="00D84296"/>
    <w:rsid w:val="00D85314"/>
    <w:rsid w:val="00D85E9D"/>
    <w:rsid w:val="00D86515"/>
    <w:rsid w:val="00D869E6"/>
    <w:rsid w:val="00D86C4E"/>
    <w:rsid w:val="00D87210"/>
    <w:rsid w:val="00D876CF"/>
    <w:rsid w:val="00D87909"/>
    <w:rsid w:val="00D87B27"/>
    <w:rsid w:val="00D90338"/>
    <w:rsid w:val="00D903A8"/>
    <w:rsid w:val="00D910B2"/>
    <w:rsid w:val="00D91CA8"/>
    <w:rsid w:val="00D91E29"/>
    <w:rsid w:val="00D9211C"/>
    <w:rsid w:val="00D93EFF"/>
    <w:rsid w:val="00D94C9E"/>
    <w:rsid w:val="00D95A4A"/>
    <w:rsid w:val="00D96D33"/>
    <w:rsid w:val="00D96EB4"/>
    <w:rsid w:val="00D96FCA"/>
    <w:rsid w:val="00D975EF"/>
    <w:rsid w:val="00D9785B"/>
    <w:rsid w:val="00D97F52"/>
    <w:rsid w:val="00DA0059"/>
    <w:rsid w:val="00DA0292"/>
    <w:rsid w:val="00DA0524"/>
    <w:rsid w:val="00DA1B2A"/>
    <w:rsid w:val="00DA1C73"/>
    <w:rsid w:val="00DA1D1F"/>
    <w:rsid w:val="00DA21A0"/>
    <w:rsid w:val="00DA23A9"/>
    <w:rsid w:val="00DA2790"/>
    <w:rsid w:val="00DA2A54"/>
    <w:rsid w:val="00DA3705"/>
    <w:rsid w:val="00DA3E40"/>
    <w:rsid w:val="00DA46A2"/>
    <w:rsid w:val="00DA47A5"/>
    <w:rsid w:val="00DA52AA"/>
    <w:rsid w:val="00DA5BF8"/>
    <w:rsid w:val="00DA5D78"/>
    <w:rsid w:val="00DA6822"/>
    <w:rsid w:val="00DA6D7F"/>
    <w:rsid w:val="00DA6E50"/>
    <w:rsid w:val="00DA7651"/>
    <w:rsid w:val="00DA76B1"/>
    <w:rsid w:val="00DA799E"/>
    <w:rsid w:val="00DB0587"/>
    <w:rsid w:val="00DB0907"/>
    <w:rsid w:val="00DB0EA1"/>
    <w:rsid w:val="00DB15CE"/>
    <w:rsid w:val="00DB1696"/>
    <w:rsid w:val="00DB19BA"/>
    <w:rsid w:val="00DB2096"/>
    <w:rsid w:val="00DB224A"/>
    <w:rsid w:val="00DB27C5"/>
    <w:rsid w:val="00DB2D2C"/>
    <w:rsid w:val="00DB5F02"/>
    <w:rsid w:val="00DC05E4"/>
    <w:rsid w:val="00DC0B1E"/>
    <w:rsid w:val="00DC13E3"/>
    <w:rsid w:val="00DC17BA"/>
    <w:rsid w:val="00DC1B6A"/>
    <w:rsid w:val="00DC28D4"/>
    <w:rsid w:val="00DC3645"/>
    <w:rsid w:val="00DC4530"/>
    <w:rsid w:val="00DC5766"/>
    <w:rsid w:val="00DC5B96"/>
    <w:rsid w:val="00DC5F1C"/>
    <w:rsid w:val="00DC60C6"/>
    <w:rsid w:val="00DC6711"/>
    <w:rsid w:val="00DC70CD"/>
    <w:rsid w:val="00DC7A50"/>
    <w:rsid w:val="00DC7D8D"/>
    <w:rsid w:val="00DC7DF0"/>
    <w:rsid w:val="00DD0064"/>
    <w:rsid w:val="00DD0528"/>
    <w:rsid w:val="00DD08DD"/>
    <w:rsid w:val="00DD0992"/>
    <w:rsid w:val="00DD0C5E"/>
    <w:rsid w:val="00DD11E4"/>
    <w:rsid w:val="00DD12AC"/>
    <w:rsid w:val="00DD167D"/>
    <w:rsid w:val="00DD1D3C"/>
    <w:rsid w:val="00DD2427"/>
    <w:rsid w:val="00DD2CB2"/>
    <w:rsid w:val="00DD2D6F"/>
    <w:rsid w:val="00DD382B"/>
    <w:rsid w:val="00DD43D0"/>
    <w:rsid w:val="00DD444C"/>
    <w:rsid w:val="00DD5192"/>
    <w:rsid w:val="00DD5CAF"/>
    <w:rsid w:val="00DD5D83"/>
    <w:rsid w:val="00DD618F"/>
    <w:rsid w:val="00DD621C"/>
    <w:rsid w:val="00DD6331"/>
    <w:rsid w:val="00DD67A6"/>
    <w:rsid w:val="00DD6BB5"/>
    <w:rsid w:val="00DD6C90"/>
    <w:rsid w:val="00DD73A4"/>
    <w:rsid w:val="00DD773A"/>
    <w:rsid w:val="00DD7764"/>
    <w:rsid w:val="00DD7BF0"/>
    <w:rsid w:val="00DE05DF"/>
    <w:rsid w:val="00DE0D54"/>
    <w:rsid w:val="00DE0EAF"/>
    <w:rsid w:val="00DE1061"/>
    <w:rsid w:val="00DE13A1"/>
    <w:rsid w:val="00DE142B"/>
    <w:rsid w:val="00DE1AA6"/>
    <w:rsid w:val="00DE326F"/>
    <w:rsid w:val="00DE481D"/>
    <w:rsid w:val="00DE4915"/>
    <w:rsid w:val="00DE63F9"/>
    <w:rsid w:val="00DE66AA"/>
    <w:rsid w:val="00DE6AC4"/>
    <w:rsid w:val="00DE7256"/>
    <w:rsid w:val="00DE75FB"/>
    <w:rsid w:val="00DE7694"/>
    <w:rsid w:val="00DF076D"/>
    <w:rsid w:val="00DF07C8"/>
    <w:rsid w:val="00DF0999"/>
    <w:rsid w:val="00DF12E0"/>
    <w:rsid w:val="00DF1BCE"/>
    <w:rsid w:val="00DF25C9"/>
    <w:rsid w:val="00DF27FC"/>
    <w:rsid w:val="00DF2C1F"/>
    <w:rsid w:val="00DF34D5"/>
    <w:rsid w:val="00DF3BFF"/>
    <w:rsid w:val="00DF4A98"/>
    <w:rsid w:val="00DF5097"/>
    <w:rsid w:val="00DF51D5"/>
    <w:rsid w:val="00DF5A18"/>
    <w:rsid w:val="00DF5F79"/>
    <w:rsid w:val="00DF6727"/>
    <w:rsid w:val="00DF7689"/>
    <w:rsid w:val="00DF773C"/>
    <w:rsid w:val="00DF778C"/>
    <w:rsid w:val="00DF7E5D"/>
    <w:rsid w:val="00DF7EA8"/>
    <w:rsid w:val="00E012B9"/>
    <w:rsid w:val="00E0157E"/>
    <w:rsid w:val="00E01AAE"/>
    <w:rsid w:val="00E01F61"/>
    <w:rsid w:val="00E02048"/>
    <w:rsid w:val="00E024D7"/>
    <w:rsid w:val="00E02FD5"/>
    <w:rsid w:val="00E0372D"/>
    <w:rsid w:val="00E03B2E"/>
    <w:rsid w:val="00E03C0A"/>
    <w:rsid w:val="00E03FF8"/>
    <w:rsid w:val="00E0591A"/>
    <w:rsid w:val="00E06524"/>
    <w:rsid w:val="00E06DA5"/>
    <w:rsid w:val="00E070AD"/>
    <w:rsid w:val="00E070D3"/>
    <w:rsid w:val="00E1089A"/>
    <w:rsid w:val="00E10D9F"/>
    <w:rsid w:val="00E11101"/>
    <w:rsid w:val="00E1118B"/>
    <w:rsid w:val="00E11B20"/>
    <w:rsid w:val="00E11BB5"/>
    <w:rsid w:val="00E1250D"/>
    <w:rsid w:val="00E126FB"/>
    <w:rsid w:val="00E143EC"/>
    <w:rsid w:val="00E14F1A"/>
    <w:rsid w:val="00E163ED"/>
    <w:rsid w:val="00E16EA9"/>
    <w:rsid w:val="00E175AE"/>
    <w:rsid w:val="00E17BC1"/>
    <w:rsid w:val="00E17D0B"/>
    <w:rsid w:val="00E17D15"/>
    <w:rsid w:val="00E21647"/>
    <w:rsid w:val="00E22F2B"/>
    <w:rsid w:val="00E23279"/>
    <w:rsid w:val="00E234CB"/>
    <w:rsid w:val="00E23AA2"/>
    <w:rsid w:val="00E243BC"/>
    <w:rsid w:val="00E24567"/>
    <w:rsid w:val="00E245E1"/>
    <w:rsid w:val="00E24753"/>
    <w:rsid w:val="00E24FD1"/>
    <w:rsid w:val="00E25612"/>
    <w:rsid w:val="00E25F8E"/>
    <w:rsid w:val="00E26A3E"/>
    <w:rsid w:val="00E27016"/>
    <w:rsid w:val="00E27117"/>
    <w:rsid w:val="00E2730D"/>
    <w:rsid w:val="00E276A9"/>
    <w:rsid w:val="00E27C21"/>
    <w:rsid w:val="00E313C9"/>
    <w:rsid w:val="00E313EE"/>
    <w:rsid w:val="00E319D2"/>
    <w:rsid w:val="00E31DD9"/>
    <w:rsid w:val="00E31FAE"/>
    <w:rsid w:val="00E323CD"/>
    <w:rsid w:val="00E32596"/>
    <w:rsid w:val="00E328F5"/>
    <w:rsid w:val="00E32996"/>
    <w:rsid w:val="00E32D08"/>
    <w:rsid w:val="00E32E6E"/>
    <w:rsid w:val="00E333A6"/>
    <w:rsid w:val="00E33B2B"/>
    <w:rsid w:val="00E33FBC"/>
    <w:rsid w:val="00E3434C"/>
    <w:rsid w:val="00E349AF"/>
    <w:rsid w:val="00E34F93"/>
    <w:rsid w:val="00E3525A"/>
    <w:rsid w:val="00E352C4"/>
    <w:rsid w:val="00E35D87"/>
    <w:rsid w:val="00E36CFD"/>
    <w:rsid w:val="00E37B32"/>
    <w:rsid w:val="00E4073E"/>
    <w:rsid w:val="00E40A6D"/>
    <w:rsid w:val="00E40EBF"/>
    <w:rsid w:val="00E412EE"/>
    <w:rsid w:val="00E416F5"/>
    <w:rsid w:val="00E41D0A"/>
    <w:rsid w:val="00E41EDE"/>
    <w:rsid w:val="00E4208D"/>
    <w:rsid w:val="00E42229"/>
    <w:rsid w:val="00E429F0"/>
    <w:rsid w:val="00E43F24"/>
    <w:rsid w:val="00E45336"/>
    <w:rsid w:val="00E459A7"/>
    <w:rsid w:val="00E469F1"/>
    <w:rsid w:val="00E470E4"/>
    <w:rsid w:val="00E47D4D"/>
    <w:rsid w:val="00E47F7A"/>
    <w:rsid w:val="00E50565"/>
    <w:rsid w:val="00E50BCB"/>
    <w:rsid w:val="00E51910"/>
    <w:rsid w:val="00E52126"/>
    <w:rsid w:val="00E5227E"/>
    <w:rsid w:val="00E52305"/>
    <w:rsid w:val="00E5255F"/>
    <w:rsid w:val="00E52F26"/>
    <w:rsid w:val="00E5329D"/>
    <w:rsid w:val="00E5496F"/>
    <w:rsid w:val="00E55956"/>
    <w:rsid w:val="00E55B83"/>
    <w:rsid w:val="00E565EC"/>
    <w:rsid w:val="00E5695D"/>
    <w:rsid w:val="00E57194"/>
    <w:rsid w:val="00E571B7"/>
    <w:rsid w:val="00E57444"/>
    <w:rsid w:val="00E5751C"/>
    <w:rsid w:val="00E57CB6"/>
    <w:rsid w:val="00E57D65"/>
    <w:rsid w:val="00E600D3"/>
    <w:rsid w:val="00E614A4"/>
    <w:rsid w:val="00E61808"/>
    <w:rsid w:val="00E63B35"/>
    <w:rsid w:val="00E63F0E"/>
    <w:rsid w:val="00E64E66"/>
    <w:rsid w:val="00E650A0"/>
    <w:rsid w:val="00E6513C"/>
    <w:rsid w:val="00E65C3D"/>
    <w:rsid w:val="00E65EF2"/>
    <w:rsid w:val="00E66A42"/>
    <w:rsid w:val="00E67620"/>
    <w:rsid w:val="00E676D2"/>
    <w:rsid w:val="00E67A24"/>
    <w:rsid w:val="00E67F08"/>
    <w:rsid w:val="00E70158"/>
    <w:rsid w:val="00E701F0"/>
    <w:rsid w:val="00E7047E"/>
    <w:rsid w:val="00E709B2"/>
    <w:rsid w:val="00E70CFC"/>
    <w:rsid w:val="00E70DAF"/>
    <w:rsid w:val="00E71459"/>
    <w:rsid w:val="00E7175B"/>
    <w:rsid w:val="00E7186B"/>
    <w:rsid w:val="00E71DB1"/>
    <w:rsid w:val="00E7216E"/>
    <w:rsid w:val="00E725E3"/>
    <w:rsid w:val="00E72CE5"/>
    <w:rsid w:val="00E73234"/>
    <w:rsid w:val="00E737A9"/>
    <w:rsid w:val="00E739B4"/>
    <w:rsid w:val="00E73B6A"/>
    <w:rsid w:val="00E73CF5"/>
    <w:rsid w:val="00E73D8B"/>
    <w:rsid w:val="00E74097"/>
    <w:rsid w:val="00E74C38"/>
    <w:rsid w:val="00E75187"/>
    <w:rsid w:val="00E751F2"/>
    <w:rsid w:val="00E768B4"/>
    <w:rsid w:val="00E76D09"/>
    <w:rsid w:val="00E7726F"/>
    <w:rsid w:val="00E775A6"/>
    <w:rsid w:val="00E80592"/>
    <w:rsid w:val="00E80AB2"/>
    <w:rsid w:val="00E80D08"/>
    <w:rsid w:val="00E80E24"/>
    <w:rsid w:val="00E81122"/>
    <w:rsid w:val="00E812CB"/>
    <w:rsid w:val="00E813C4"/>
    <w:rsid w:val="00E8157F"/>
    <w:rsid w:val="00E817DA"/>
    <w:rsid w:val="00E81CB8"/>
    <w:rsid w:val="00E81FAC"/>
    <w:rsid w:val="00E820A3"/>
    <w:rsid w:val="00E82898"/>
    <w:rsid w:val="00E8354D"/>
    <w:rsid w:val="00E83CD7"/>
    <w:rsid w:val="00E84891"/>
    <w:rsid w:val="00E855EE"/>
    <w:rsid w:val="00E856C4"/>
    <w:rsid w:val="00E857CA"/>
    <w:rsid w:val="00E86186"/>
    <w:rsid w:val="00E90517"/>
    <w:rsid w:val="00E90BF5"/>
    <w:rsid w:val="00E91A7A"/>
    <w:rsid w:val="00E9315D"/>
    <w:rsid w:val="00E93246"/>
    <w:rsid w:val="00E93678"/>
    <w:rsid w:val="00E9370D"/>
    <w:rsid w:val="00E944A4"/>
    <w:rsid w:val="00E945D9"/>
    <w:rsid w:val="00E955E5"/>
    <w:rsid w:val="00E95BAB"/>
    <w:rsid w:val="00E96664"/>
    <w:rsid w:val="00E9682E"/>
    <w:rsid w:val="00E96DC5"/>
    <w:rsid w:val="00E97DE9"/>
    <w:rsid w:val="00EA04D0"/>
    <w:rsid w:val="00EA12C7"/>
    <w:rsid w:val="00EA15B0"/>
    <w:rsid w:val="00EA25CD"/>
    <w:rsid w:val="00EA29F0"/>
    <w:rsid w:val="00EA2A6B"/>
    <w:rsid w:val="00EA2E74"/>
    <w:rsid w:val="00EA357D"/>
    <w:rsid w:val="00EA399E"/>
    <w:rsid w:val="00EA3A23"/>
    <w:rsid w:val="00EA43D7"/>
    <w:rsid w:val="00EA45DF"/>
    <w:rsid w:val="00EA5341"/>
    <w:rsid w:val="00EA5AB2"/>
    <w:rsid w:val="00EA64BA"/>
    <w:rsid w:val="00EA65C0"/>
    <w:rsid w:val="00EA662B"/>
    <w:rsid w:val="00EA690F"/>
    <w:rsid w:val="00EA6DB1"/>
    <w:rsid w:val="00EA7256"/>
    <w:rsid w:val="00EB0DE0"/>
    <w:rsid w:val="00EB1855"/>
    <w:rsid w:val="00EB27B4"/>
    <w:rsid w:val="00EB2E4B"/>
    <w:rsid w:val="00EB2F35"/>
    <w:rsid w:val="00EB36AE"/>
    <w:rsid w:val="00EB36BA"/>
    <w:rsid w:val="00EB3DDC"/>
    <w:rsid w:val="00EB4546"/>
    <w:rsid w:val="00EB4839"/>
    <w:rsid w:val="00EB4E14"/>
    <w:rsid w:val="00EB5495"/>
    <w:rsid w:val="00EB5818"/>
    <w:rsid w:val="00EB61C4"/>
    <w:rsid w:val="00EB625C"/>
    <w:rsid w:val="00EB6AFC"/>
    <w:rsid w:val="00EB762D"/>
    <w:rsid w:val="00EB7ACF"/>
    <w:rsid w:val="00EC002C"/>
    <w:rsid w:val="00EC02BE"/>
    <w:rsid w:val="00EC0D8A"/>
    <w:rsid w:val="00EC1558"/>
    <w:rsid w:val="00EC1B65"/>
    <w:rsid w:val="00EC2C3F"/>
    <w:rsid w:val="00EC2FF5"/>
    <w:rsid w:val="00EC341B"/>
    <w:rsid w:val="00EC3E1A"/>
    <w:rsid w:val="00EC4803"/>
    <w:rsid w:val="00EC4809"/>
    <w:rsid w:val="00EC4961"/>
    <w:rsid w:val="00EC4F1F"/>
    <w:rsid w:val="00EC5A9F"/>
    <w:rsid w:val="00EC6AD1"/>
    <w:rsid w:val="00EC76A4"/>
    <w:rsid w:val="00EC7A92"/>
    <w:rsid w:val="00EC7BA7"/>
    <w:rsid w:val="00ED032D"/>
    <w:rsid w:val="00ED041D"/>
    <w:rsid w:val="00ED0BBD"/>
    <w:rsid w:val="00ED0EBF"/>
    <w:rsid w:val="00ED1253"/>
    <w:rsid w:val="00ED14EB"/>
    <w:rsid w:val="00ED1634"/>
    <w:rsid w:val="00ED239A"/>
    <w:rsid w:val="00ED31CD"/>
    <w:rsid w:val="00ED35ED"/>
    <w:rsid w:val="00ED448E"/>
    <w:rsid w:val="00ED473B"/>
    <w:rsid w:val="00ED4AD2"/>
    <w:rsid w:val="00ED589A"/>
    <w:rsid w:val="00ED5BF7"/>
    <w:rsid w:val="00ED7993"/>
    <w:rsid w:val="00ED7A65"/>
    <w:rsid w:val="00ED7CBB"/>
    <w:rsid w:val="00ED7D6D"/>
    <w:rsid w:val="00EE09B9"/>
    <w:rsid w:val="00EE2500"/>
    <w:rsid w:val="00EE2CB9"/>
    <w:rsid w:val="00EE36EB"/>
    <w:rsid w:val="00EE38E2"/>
    <w:rsid w:val="00EE462C"/>
    <w:rsid w:val="00EE529A"/>
    <w:rsid w:val="00EE59E5"/>
    <w:rsid w:val="00EE5C3A"/>
    <w:rsid w:val="00EE65E8"/>
    <w:rsid w:val="00EE6E57"/>
    <w:rsid w:val="00EE744D"/>
    <w:rsid w:val="00EE74F3"/>
    <w:rsid w:val="00EE770A"/>
    <w:rsid w:val="00EE7BC8"/>
    <w:rsid w:val="00EF00F8"/>
    <w:rsid w:val="00EF0B31"/>
    <w:rsid w:val="00EF10F8"/>
    <w:rsid w:val="00EF2313"/>
    <w:rsid w:val="00EF2D91"/>
    <w:rsid w:val="00EF2E88"/>
    <w:rsid w:val="00EF38F6"/>
    <w:rsid w:val="00EF4291"/>
    <w:rsid w:val="00EF48D4"/>
    <w:rsid w:val="00EF4B54"/>
    <w:rsid w:val="00EF5C25"/>
    <w:rsid w:val="00EF6939"/>
    <w:rsid w:val="00EF6CC6"/>
    <w:rsid w:val="00EF72E3"/>
    <w:rsid w:val="00EF74B9"/>
    <w:rsid w:val="00EF7A38"/>
    <w:rsid w:val="00F00850"/>
    <w:rsid w:val="00F00892"/>
    <w:rsid w:val="00F00976"/>
    <w:rsid w:val="00F0105F"/>
    <w:rsid w:val="00F01A3F"/>
    <w:rsid w:val="00F01DF3"/>
    <w:rsid w:val="00F022AE"/>
    <w:rsid w:val="00F02326"/>
    <w:rsid w:val="00F02AFC"/>
    <w:rsid w:val="00F0349E"/>
    <w:rsid w:val="00F03878"/>
    <w:rsid w:val="00F03A4E"/>
    <w:rsid w:val="00F041EF"/>
    <w:rsid w:val="00F043A7"/>
    <w:rsid w:val="00F046A2"/>
    <w:rsid w:val="00F05CE0"/>
    <w:rsid w:val="00F068CA"/>
    <w:rsid w:val="00F06CAA"/>
    <w:rsid w:val="00F06CDB"/>
    <w:rsid w:val="00F073F1"/>
    <w:rsid w:val="00F0754E"/>
    <w:rsid w:val="00F07AD1"/>
    <w:rsid w:val="00F07CC4"/>
    <w:rsid w:val="00F109E5"/>
    <w:rsid w:val="00F111C0"/>
    <w:rsid w:val="00F11402"/>
    <w:rsid w:val="00F11C1E"/>
    <w:rsid w:val="00F1300F"/>
    <w:rsid w:val="00F1329F"/>
    <w:rsid w:val="00F136CD"/>
    <w:rsid w:val="00F13C71"/>
    <w:rsid w:val="00F14049"/>
    <w:rsid w:val="00F14BC8"/>
    <w:rsid w:val="00F16392"/>
    <w:rsid w:val="00F20621"/>
    <w:rsid w:val="00F20730"/>
    <w:rsid w:val="00F2182C"/>
    <w:rsid w:val="00F2198A"/>
    <w:rsid w:val="00F219EB"/>
    <w:rsid w:val="00F21ACF"/>
    <w:rsid w:val="00F22C91"/>
    <w:rsid w:val="00F22E3E"/>
    <w:rsid w:val="00F2303B"/>
    <w:rsid w:val="00F2387D"/>
    <w:rsid w:val="00F24143"/>
    <w:rsid w:val="00F2422A"/>
    <w:rsid w:val="00F249E5"/>
    <w:rsid w:val="00F25C0D"/>
    <w:rsid w:val="00F25FAF"/>
    <w:rsid w:val="00F2683C"/>
    <w:rsid w:val="00F26C3B"/>
    <w:rsid w:val="00F271D8"/>
    <w:rsid w:val="00F30033"/>
    <w:rsid w:val="00F300F0"/>
    <w:rsid w:val="00F30352"/>
    <w:rsid w:val="00F30B40"/>
    <w:rsid w:val="00F30D9F"/>
    <w:rsid w:val="00F31688"/>
    <w:rsid w:val="00F3207A"/>
    <w:rsid w:val="00F322A6"/>
    <w:rsid w:val="00F328B9"/>
    <w:rsid w:val="00F33744"/>
    <w:rsid w:val="00F33F0A"/>
    <w:rsid w:val="00F355B2"/>
    <w:rsid w:val="00F35765"/>
    <w:rsid w:val="00F35FD4"/>
    <w:rsid w:val="00F369CA"/>
    <w:rsid w:val="00F36AB8"/>
    <w:rsid w:val="00F36CD6"/>
    <w:rsid w:val="00F3705D"/>
    <w:rsid w:val="00F37FE5"/>
    <w:rsid w:val="00F40321"/>
    <w:rsid w:val="00F407D4"/>
    <w:rsid w:val="00F4125A"/>
    <w:rsid w:val="00F414F3"/>
    <w:rsid w:val="00F41DAE"/>
    <w:rsid w:val="00F43144"/>
    <w:rsid w:val="00F43EA7"/>
    <w:rsid w:val="00F43F1A"/>
    <w:rsid w:val="00F44102"/>
    <w:rsid w:val="00F44614"/>
    <w:rsid w:val="00F447C2"/>
    <w:rsid w:val="00F44A45"/>
    <w:rsid w:val="00F44C53"/>
    <w:rsid w:val="00F44D97"/>
    <w:rsid w:val="00F44F5F"/>
    <w:rsid w:val="00F45136"/>
    <w:rsid w:val="00F45816"/>
    <w:rsid w:val="00F458DE"/>
    <w:rsid w:val="00F45C72"/>
    <w:rsid w:val="00F4637E"/>
    <w:rsid w:val="00F46507"/>
    <w:rsid w:val="00F468D0"/>
    <w:rsid w:val="00F4714B"/>
    <w:rsid w:val="00F47542"/>
    <w:rsid w:val="00F47871"/>
    <w:rsid w:val="00F47C6F"/>
    <w:rsid w:val="00F47EEF"/>
    <w:rsid w:val="00F47F1F"/>
    <w:rsid w:val="00F50D17"/>
    <w:rsid w:val="00F52E24"/>
    <w:rsid w:val="00F53744"/>
    <w:rsid w:val="00F54340"/>
    <w:rsid w:val="00F5436A"/>
    <w:rsid w:val="00F54AF8"/>
    <w:rsid w:val="00F54D60"/>
    <w:rsid w:val="00F55C68"/>
    <w:rsid w:val="00F55D11"/>
    <w:rsid w:val="00F55FA2"/>
    <w:rsid w:val="00F561AF"/>
    <w:rsid w:val="00F567F7"/>
    <w:rsid w:val="00F56B51"/>
    <w:rsid w:val="00F56BCF"/>
    <w:rsid w:val="00F57513"/>
    <w:rsid w:val="00F57725"/>
    <w:rsid w:val="00F57AB5"/>
    <w:rsid w:val="00F60499"/>
    <w:rsid w:val="00F60990"/>
    <w:rsid w:val="00F60C84"/>
    <w:rsid w:val="00F6142C"/>
    <w:rsid w:val="00F6167C"/>
    <w:rsid w:val="00F6358C"/>
    <w:rsid w:val="00F638C8"/>
    <w:rsid w:val="00F6423F"/>
    <w:rsid w:val="00F64851"/>
    <w:rsid w:val="00F6571F"/>
    <w:rsid w:val="00F66B3D"/>
    <w:rsid w:val="00F66BBD"/>
    <w:rsid w:val="00F66C7E"/>
    <w:rsid w:val="00F66DC3"/>
    <w:rsid w:val="00F67BDC"/>
    <w:rsid w:val="00F67E4C"/>
    <w:rsid w:val="00F70502"/>
    <w:rsid w:val="00F72164"/>
    <w:rsid w:val="00F72C5B"/>
    <w:rsid w:val="00F72CB0"/>
    <w:rsid w:val="00F72CDF"/>
    <w:rsid w:val="00F72D1D"/>
    <w:rsid w:val="00F733F7"/>
    <w:rsid w:val="00F73BC9"/>
    <w:rsid w:val="00F74296"/>
    <w:rsid w:val="00F74F2A"/>
    <w:rsid w:val="00F753F8"/>
    <w:rsid w:val="00F75647"/>
    <w:rsid w:val="00F758FF"/>
    <w:rsid w:val="00F76055"/>
    <w:rsid w:val="00F7651F"/>
    <w:rsid w:val="00F76CB0"/>
    <w:rsid w:val="00F776EF"/>
    <w:rsid w:val="00F77786"/>
    <w:rsid w:val="00F77AFF"/>
    <w:rsid w:val="00F77B33"/>
    <w:rsid w:val="00F801F7"/>
    <w:rsid w:val="00F807BE"/>
    <w:rsid w:val="00F80C74"/>
    <w:rsid w:val="00F816FB"/>
    <w:rsid w:val="00F824ED"/>
    <w:rsid w:val="00F82884"/>
    <w:rsid w:val="00F82BCF"/>
    <w:rsid w:val="00F82E6F"/>
    <w:rsid w:val="00F83223"/>
    <w:rsid w:val="00F8372F"/>
    <w:rsid w:val="00F83FBE"/>
    <w:rsid w:val="00F8498F"/>
    <w:rsid w:val="00F84F1F"/>
    <w:rsid w:val="00F84F81"/>
    <w:rsid w:val="00F85104"/>
    <w:rsid w:val="00F872FA"/>
    <w:rsid w:val="00F9018D"/>
    <w:rsid w:val="00F90827"/>
    <w:rsid w:val="00F9093B"/>
    <w:rsid w:val="00F90B27"/>
    <w:rsid w:val="00F914BE"/>
    <w:rsid w:val="00F91514"/>
    <w:rsid w:val="00F92B89"/>
    <w:rsid w:val="00F92EE1"/>
    <w:rsid w:val="00F92EEC"/>
    <w:rsid w:val="00F93A5D"/>
    <w:rsid w:val="00F93DC4"/>
    <w:rsid w:val="00F941A5"/>
    <w:rsid w:val="00F9527B"/>
    <w:rsid w:val="00F95E82"/>
    <w:rsid w:val="00F96226"/>
    <w:rsid w:val="00F9668F"/>
    <w:rsid w:val="00F96945"/>
    <w:rsid w:val="00F9733B"/>
    <w:rsid w:val="00FA061A"/>
    <w:rsid w:val="00FA065D"/>
    <w:rsid w:val="00FA11EB"/>
    <w:rsid w:val="00FA1459"/>
    <w:rsid w:val="00FA20E6"/>
    <w:rsid w:val="00FA2822"/>
    <w:rsid w:val="00FA2A93"/>
    <w:rsid w:val="00FA3826"/>
    <w:rsid w:val="00FA41D4"/>
    <w:rsid w:val="00FA42B6"/>
    <w:rsid w:val="00FA4726"/>
    <w:rsid w:val="00FA473B"/>
    <w:rsid w:val="00FA4C3C"/>
    <w:rsid w:val="00FA5781"/>
    <w:rsid w:val="00FA69AB"/>
    <w:rsid w:val="00FA76C3"/>
    <w:rsid w:val="00FA7749"/>
    <w:rsid w:val="00FA78AD"/>
    <w:rsid w:val="00FA7D49"/>
    <w:rsid w:val="00FB0939"/>
    <w:rsid w:val="00FB0E6A"/>
    <w:rsid w:val="00FB1986"/>
    <w:rsid w:val="00FB1A76"/>
    <w:rsid w:val="00FB384D"/>
    <w:rsid w:val="00FB3C2A"/>
    <w:rsid w:val="00FB3E52"/>
    <w:rsid w:val="00FB40A6"/>
    <w:rsid w:val="00FB454B"/>
    <w:rsid w:val="00FB47D1"/>
    <w:rsid w:val="00FB514F"/>
    <w:rsid w:val="00FB5340"/>
    <w:rsid w:val="00FB5753"/>
    <w:rsid w:val="00FB607C"/>
    <w:rsid w:val="00FC078B"/>
    <w:rsid w:val="00FC15EA"/>
    <w:rsid w:val="00FC1700"/>
    <w:rsid w:val="00FC17D3"/>
    <w:rsid w:val="00FC1A4E"/>
    <w:rsid w:val="00FC1D27"/>
    <w:rsid w:val="00FC2DAC"/>
    <w:rsid w:val="00FC3144"/>
    <w:rsid w:val="00FC3417"/>
    <w:rsid w:val="00FC39C6"/>
    <w:rsid w:val="00FC3C15"/>
    <w:rsid w:val="00FC3C46"/>
    <w:rsid w:val="00FC48F6"/>
    <w:rsid w:val="00FC4AAA"/>
    <w:rsid w:val="00FC57D1"/>
    <w:rsid w:val="00FC5C8C"/>
    <w:rsid w:val="00FC66EE"/>
    <w:rsid w:val="00FC6837"/>
    <w:rsid w:val="00FC6C3C"/>
    <w:rsid w:val="00FC7279"/>
    <w:rsid w:val="00FC7A68"/>
    <w:rsid w:val="00FC7C5F"/>
    <w:rsid w:val="00FD0C90"/>
    <w:rsid w:val="00FD0FB7"/>
    <w:rsid w:val="00FD13A5"/>
    <w:rsid w:val="00FD185C"/>
    <w:rsid w:val="00FD1AF6"/>
    <w:rsid w:val="00FD2254"/>
    <w:rsid w:val="00FD2DC4"/>
    <w:rsid w:val="00FD374B"/>
    <w:rsid w:val="00FD3E06"/>
    <w:rsid w:val="00FD3F4D"/>
    <w:rsid w:val="00FD42C8"/>
    <w:rsid w:val="00FD4373"/>
    <w:rsid w:val="00FD48A8"/>
    <w:rsid w:val="00FD4A62"/>
    <w:rsid w:val="00FD4BE1"/>
    <w:rsid w:val="00FD4FBE"/>
    <w:rsid w:val="00FD66E7"/>
    <w:rsid w:val="00FD6922"/>
    <w:rsid w:val="00FD756E"/>
    <w:rsid w:val="00FD7763"/>
    <w:rsid w:val="00FD77BC"/>
    <w:rsid w:val="00FD7BA1"/>
    <w:rsid w:val="00FE0616"/>
    <w:rsid w:val="00FE0630"/>
    <w:rsid w:val="00FE19B7"/>
    <w:rsid w:val="00FE2567"/>
    <w:rsid w:val="00FE2AEE"/>
    <w:rsid w:val="00FE32B2"/>
    <w:rsid w:val="00FE36C2"/>
    <w:rsid w:val="00FE3879"/>
    <w:rsid w:val="00FE3D9F"/>
    <w:rsid w:val="00FE3F85"/>
    <w:rsid w:val="00FE423A"/>
    <w:rsid w:val="00FE4386"/>
    <w:rsid w:val="00FE4EF0"/>
    <w:rsid w:val="00FE5878"/>
    <w:rsid w:val="00FE5ADA"/>
    <w:rsid w:val="00FE5D0E"/>
    <w:rsid w:val="00FE638A"/>
    <w:rsid w:val="00FE6591"/>
    <w:rsid w:val="00FE75B2"/>
    <w:rsid w:val="00FE7755"/>
    <w:rsid w:val="00FE7F1C"/>
    <w:rsid w:val="00FE7F57"/>
    <w:rsid w:val="00FF1B64"/>
    <w:rsid w:val="00FF263D"/>
    <w:rsid w:val="00FF31C1"/>
    <w:rsid w:val="00FF5348"/>
    <w:rsid w:val="00FF6C6E"/>
    <w:rsid w:val="00FF7C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5A6EC07C"/>
  <w15:docId w15:val="{BD343167-5EB4-4D00-80CF-830789623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75D30"/>
    <w:pPr>
      <w:spacing w:before="120" w:after="120" w:line="312" w:lineRule="auto"/>
      <w:jc w:val="both"/>
    </w:pPr>
    <w:rPr>
      <w:rFonts w:ascii="Arial" w:hAnsi="Arial" w:cs="Arial"/>
      <w:sz w:val="24"/>
    </w:rPr>
  </w:style>
  <w:style w:type="paragraph" w:styleId="berschrift1">
    <w:name w:val="heading 1"/>
    <w:basedOn w:val="Standard"/>
    <w:next w:val="Standard"/>
    <w:link w:val="berschrift1Zchn"/>
    <w:qFormat/>
    <w:rsid w:val="009B5AE2"/>
    <w:pPr>
      <w:keepNext/>
      <w:numPr>
        <w:numId w:val="2"/>
      </w:numPr>
      <w:spacing w:before="480"/>
      <w:outlineLvl w:val="0"/>
    </w:pPr>
    <w:rPr>
      <w:b/>
      <w:bCs/>
      <w:kern w:val="32"/>
      <w:sz w:val="32"/>
      <w:szCs w:val="32"/>
    </w:rPr>
  </w:style>
  <w:style w:type="paragraph" w:styleId="berschrift2">
    <w:name w:val="heading 2"/>
    <w:basedOn w:val="Standard"/>
    <w:next w:val="Standard"/>
    <w:link w:val="berschrift2Zchn"/>
    <w:qFormat/>
    <w:rsid w:val="009B5AE2"/>
    <w:pPr>
      <w:keepNext/>
      <w:numPr>
        <w:ilvl w:val="1"/>
        <w:numId w:val="2"/>
      </w:numPr>
      <w:spacing w:before="360"/>
      <w:ind w:left="720" w:hanging="720"/>
      <w:outlineLvl w:val="1"/>
    </w:pPr>
    <w:rPr>
      <w:b/>
      <w:bCs/>
      <w:i/>
      <w:iCs/>
      <w:sz w:val="28"/>
      <w:szCs w:val="28"/>
    </w:rPr>
  </w:style>
  <w:style w:type="paragraph" w:styleId="berschrift3">
    <w:name w:val="heading 3"/>
    <w:basedOn w:val="Standard"/>
    <w:next w:val="Standard"/>
    <w:link w:val="berschrift3Zchn"/>
    <w:qFormat/>
    <w:rsid w:val="00BD6AB8"/>
    <w:pPr>
      <w:keepNext/>
      <w:numPr>
        <w:ilvl w:val="2"/>
        <w:numId w:val="2"/>
      </w:numPr>
      <w:spacing w:before="360"/>
      <w:ind w:left="720" w:hanging="720"/>
      <w:outlineLvl w:val="2"/>
    </w:pPr>
    <w:rPr>
      <w:b/>
      <w:bCs/>
      <w:sz w:val="26"/>
      <w:szCs w:val="26"/>
    </w:rPr>
  </w:style>
  <w:style w:type="paragraph" w:styleId="berschrift4">
    <w:name w:val="heading 4"/>
    <w:basedOn w:val="Standard"/>
    <w:next w:val="Standard"/>
    <w:link w:val="berschrift4Zchn"/>
    <w:qFormat/>
    <w:rsid w:val="00BD6AB8"/>
    <w:pPr>
      <w:keepNext/>
      <w:numPr>
        <w:ilvl w:val="3"/>
        <w:numId w:val="2"/>
      </w:numPr>
      <w:spacing w:before="360"/>
      <w:outlineLvl w:val="3"/>
    </w:pPr>
    <w:rPr>
      <w:b/>
      <w:bCs/>
      <w:szCs w:val="28"/>
    </w:rPr>
  </w:style>
  <w:style w:type="paragraph" w:styleId="berschrift5">
    <w:name w:val="heading 5"/>
    <w:basedOn w:val="Standard"/>
    <w:next w:val="Standard"/>
    <w:link w:val="berschrift5Zchn"/>
    <w:qFormat/>
    <w:rsid w:val="004D06E8"/>
    <w:pPr>
      <w:numPr>
        <w:numId w:val="4"/>
      </w:numPr>
      <w:spacing w:after="60"/>
      <w:outlineLvl w:val="4"/>
    </w:pPr>
    <w:rPr>
      <w:b/>
      <w:bCs/>
      <w:i/>
      <w:iCs/>
      <w:szCs w:val="26"/>
    </w:rPr>
  </w:style>
  <w:style w:type="paragraph" w:styleId="berschrift6">
    <w:name w:val="heading 6"/>
    <w:basedOn w:val="Standard"/>
    <w:next w:val="Standard"/>
    <w:qFormat/>
    <w:rsid w:val="002D0F15"/>
    <w:pPr>
      <w:numPr>
        <w:ilvl w:val="5"/>
        <w:numId w:val="2"/>
      </w:numPr>
      <w:spacing w:after="60"/>
      <w:outlineLvl w:val="5"/>
    </w:pPr>
    <w:rPr>
      <w:b/>
      <w:bCs/>
      <w:sz w:val="22"/>
      <w:szCs w:val="22"/>
    </w:rPr>
  </w:style>
  <w:style w:type="paragraph" w:styleId="berschrift7">
    <w:name w:val="heading 7"/>
    <w:basedOn w:val="Standard"/>
    <w:next w:val="Standard"/>
    <w:qFormat/>
    <w:rsid w:val="002D0F15"/>
    <w:pPr>
      <w:numPr>
        <w:ilvl w:val="6"/>
        <w:numId w:val="2"/>
      </w:numPr>
      <w:spacing w:after="60"/>
      <w:outlineLvl w:val="6"/>
    </w:pPr>
    <w:rPr>
      <w:szCs w:val="24"/>
    </w:rPr>
  </w:style>
  <w:style w:type="paragraph" w:styleId="berschrift8">
    <w:name w:val="heading 8"/>
    <w:basedOn w:val="Standard"/>
    <w:next w:val="Standard"/>
    <w:qFormat/>
    <w:rsid w:val="002D0F15"/>
    <w:pPr>
      <w:numPr>
        <w:ilvl w:val="7"/>
        <w:numId w:val="2"/>
      </w:numPr>
      <w:spacing w:after="60"/>
      <w:outlineLvl w:val="7"/>
    </w:pPr>
    <w:rPr>
      <w:i/>
      <w:iCs/>
      <w:szCs w:val="24"/>
    </w:rPr>
  </w:style>
  <w:style w:type="paragraph" w:styleId="berschrift9">
    <w:name w:val="heading 9"/>
    <w:basedOn w:val="Standard"/>
    <w:next w:val="Standard"/>
    <w:qFormat/>
    <w:rsid w:val="002D0F15"/>
    <w:pPr>
      <w:numPr>
        <w:ilvl w:val="8"/>
        <w:numId w:val="2"/>
      </w:numPr>
      <w:spacing w:after="60"/>
      <w:outlineLvl w:val="8"/>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aliases w:val="Ivo,Char,fn,footnote text,Literatur Absatz,Footnote Text Char,Ivo Char,Char1 Char,fn Char,Literatur Absatz Char,Fußnotentext Char1 Char,Fußnotentext Char Char Char,Fußnotentext Char1 Char1 Char Char,Char1,Fußnotentext Char1,Fußnote,Char2,-H,a"/>
    <w:basedOn w:val="Standard"/>
    <w:link w:val="FunotentextZchn"/>
    <w:qFormat/>
    <w:rsid w:val="008B3EB7"/>
    <w:pPr>
      <w:spacing w:before="0" w:after="0"/>
      <w:ind w:left="340" w:hanging="340"/>
    </w:pPr>
    <w:rPr>
      <w:sz w:val="20"/>
    </w:rPr>
  </w:style>
  <w:style w:type="character" w:styleId="Funotenzeichen">
    <w:name w:val="footnote reference"/>
    <w:aliases w:val="Fußnotenzeichen Doktor,-E Fußnotenzeichen,-E Fußnotentext,A Fußnotenzeichen,Ref,de nota al pie,AP_Fußnote"/>
    <w:uiPriority w:val="99"/>
    <w:qFormat/>
    <w:rsid w:val="00135441"/>
    <w:rPr>
      <w:rFonts w:ascii="Arial" w:hAnsi="Arial"/>
      <w:sz w:val="24"/>
      <w:vertAlign w:val="superscript"/>
    </w:rPr>
  </w:style>
  <w:style w:type="paragraph" w:styleId="Fuzeile">
    <w:name w:val="footer"/>
    <w:basedOn w:val="Standard"/>
    <w:link w:val="FuzeileZchn"/>
    <w:uiPriority w:val="99"/>
    <w:rsid w:val="004C1211"/>
    <w:pPr>
      <w:tabs>
        <w:tab w:val="center" w:pos="4536"/>
        <w:tab w:val="right" w:pos="9072"/>
      </w:tabs>
    </w:pPr>
  </w:style>
  <w:style w:type="character" w:styleId="Seitenzahl">
    <w:name w:val="page number"/>
    <w:basedOn w:val="Absatz-Standardschriftart"/>
    <w:rsid w:val="004C1211"/>
  </w:style>
  <w:style w:type="character" w:customStyle="1" w:styleId="highlight">
    <w:name w:val="highlight"/>
    <w:rsid w:val="003767A1"/>
    <w:rPr>
      <w:color w:val="FFFFFF"/>
      <w:shd w:val="clear" w:color="auto" w:fill="6F6F6F"/>
    </w:rPr>
  </w:style>
  <w:style w:type="character" w:customStyle="1" w:styleId="FunotentextZchn">
    <w:name w:val="Fußnotentext Zchn"/>
    <w:aliases w:val="Ivo Zchn,Char Zchn,fn Zchn,footnote text Zchn,Literatur Absatz Zchn,Footnote Text Char Zchn,Ivo Char Zchn,Char1 Char Zchn,fn Char Zchn,Literatur Absatz Char Zchn,Fußnotentext Char1 Char Zchn,Fußnotentext Char Char Char Zchn,Char1 Zchn"/>
    <w:link w:val="Funotentext"/>
    <w:rsid w:val="008B3EB7"/>
    <w:rPr>
      <w:rFonts w:ascii="Arial" w:hAnsi="Arial" w:cs="Arial"/>
    </w:rPr>
  </w:style>
  <w:style w:type="paragraph" w:customStyle="1" w:styleId="Studieberschrift2">
    <w:name w:val="Studie Überschrift 2"/>
    <w:basedOn w:val="Standard"/>
    <w:rsid w:val="00EB7ACF"/>
    <w:pPr>
      <w:numPr>
        <w:ilvl w:val="1"/>
        <w:numId w:val="1"/>
      </w:numPr>
      <w:spacing w:before="480" w:after="240"/>
    </w:pPr>
    <w:rPr>
      <w:b/>
      <w:szCs w:val="24"/>
    </w:rPr>
  </w:style>
  <w:style w:type="paragraph" w:customStyle="1" w:styleId="Studieberschrift3">
    <w:name w:val="Studie Überschrift 3"/>
    <w:basedOn w:val="Standard"/>
    <w:rsid w:val="00EB7ACF"/>
    <w:pPr>
      <w:numPr>
        <w:ilvl w:val="2"/>
        <w:numId w:val="1"/>
      </w:numPr>
      <w:spacing w:before="480" w:after="240"/>
    </w:pPr>
    <w:rPr>
      <w:b/>
      <w:szCs w:val="24"/>
    </w:rPr>
  </w:style>
  <w:style w:type="paragraph" w:customStyle="1" w:styleId="Studieberschriftaa">
    <w:name w:val="Studie Überschrift aa."/>
    <w:basedOn w:val="Standard"/>
    <w:rsid w:val="00EB7ACF"/>
    <w:pPr>
      <w:numPr>
        <w:ilvl w:val="4"/>
        <w:numId w:val="1"/>
      </w:numPr>
    </w:pPr>
    <w:rPr>
      <w:b/>
      <w:sz w:val="22"/>
      <w:szCs w:val="24"/>
    </w:rPr>
  </w:style>
  <w:style w:type="paragraph" w:styleId="Endnotentext">
    <w:name w:val="endnote text"/>
    <w:basedOn w:val="Standard"/>
    <w:semiHidden/>
    <w:rsid w:val="00EC4F1F"/>
  </w:style>
  <w:style w:type="character" w:styleId="Endnotenzeichen">
    <w:name w:val="endnote reference"/>
    <w:semiHidden/>
    <w:rsid w:val="00EC4F1F"/>
    <w:rPr>
      <w:sz w:val="20"/>
      <w:vertAlign w:val="superscript"/>
    </w:rPr>
  </w:style>
  <w:style w:type="paragraph" w:styleId="Textkrper">
    <w:name w:val="Body Text"/>
    <w:basedOn w:val="Standard"/>
    <w:link w:val="TextkrperZchn"/>
    <w:rsid w:val="00EC4F1F"/>
  </w:style>
  <w:style w:type="character" w:styleId="Hervorhebung">
    <w:name w:val="Emphasis"/>
    <w:uiPriority w:val="20"/>
    <w:qFormat/>
    <w:rsid w:val="008A5026"/>
    <w:rPr>
      <w:i/>
      <w:iCs/>
    </w:rPr>
  </w:style>
  <w:style w:type="character" w:customStyle="1" w:styleId="desc">
    <w:name w:val="desc"/>
    <w:basedOn w:val="Absatz-Standardschriftart"/>
    <w:rsid w:val="008A5026"/>
  </w:style>
  <w:style w:type="character" w:styleId="Hyperlink">
    <w:name w:val="Hyperlink"/>
    <w:uiPriority w:val="99"/>
    <w:unhideWhenUsed/>
    <w:rsid w:val="00E03B2E"/>
    <w:rPr>
      <w:color w:val="0000FF"/>
      <w:u w:val="single"/>
    </w:rPr>
  </w:style>
  <w:style w:type="paragraph" w:styleId="StandardWeb">
    <w:name w:val="Normal (Web)"/>
    <w:basedOn w:val="Standard"/>
    <w:uiPriority w:val="99"/>
    <w:unhideWhenUsed/>
    <w:rsid w:val="00D60C4F"/>
    <w:pPr>
      <w:spacing w:before="100" w:beforeAutospacing="1" w:after="100" w:afterAutospacing="1"/>
    </w:pPr>
    <w:rPr>
      <w:szCs w:val="24"/>
    </w:rPr>
  </w:style>
  <w:style w:type="paragraph" w:styleId="Sprechblasentext">
    <w:name w:val="Balloon Text"/>
    <w:basedOn w:val="Standard"/>
    <w:semiHidden/>
    <w:rsid w:val="00650242"/>
    <w:rPr>
      <w:rFonts w:ascii="Tahoma" w:hAnsi="Tahoma" w:cs="Tahoma"/>
      <w:sz w:val="16"/>
      <w:szCs w:val="16"/>
    </w:rPr>
  </w:style>
  <w:style w:type="paragraph" w:styleId="Aufzhlungszeichen">
    <w:name w:val="List Bullet"/>
    <w:basedOn w:val="Standard"/>
    <w:rsid w:val="00492F6B"/>
    <w:pPr>
      <w:numPr>
        <w:numId w:val="3"/>
      </w:numPr>
      <w:contextualSpacing/>
    </w:pPr>
  </w:style>
  <w:style w:type="character" w:customStyle="1" w:styleId="fliesstext">
    <w:name w:val="fliesstext"/>
    <w:basedOn w:val="Absatz-Standardschriftart"/>
    <w:rsid w:val="00733296"/>
  </w:style>
  <w:style w:type="paragraph" w:styleId="Dokumentstruktur">
    <w:name w:val="Document Map"/>
    <w:basedOn w:val="Standard"/>
    <w:link w:val="DokumentstrukturZchn"/>
    <w:rsid w:val="00026D7E"/>
    <w:rPr>
      <w:rFonts w:ascii="Tahoma" w:hAnsi="Tahoma" w:cs="Tahoma"/>
      <w:sz w:val="16"/>
      <w:szCs w:val="16"/>
    </w:rPr>
  </w:style>
  <w:style w:type="character" w:customStyle="1" w:styleId="TextkrperZchn">
    <w:name w:val="Textkörper Zchn"/>
    <w:link w:val="Textkrper"/>
    <w:rsid w:val="00551C39"/>
    <w:rPr>
      <w:rFonts w:ascii="Arial" w:hAnsi="Arial"/>
      <w:sz w:val="24"/>
    </w:rPr>
  </w:style>
  <w:style w:type="character" w:customStyle="1" w:styleId="DokumentstrukturZchn">
    <w:name w:val="Dokumentstruktur Zchn"/>
    <w:link w:val="Dokumentstruktur"/>
    <w:rsid w:val="00026D7E"/>
    <w:rPr>
      <w:rFonts w:ascii="Tahoma" w:hAnsi="Tahoma" w:cs="Tahoma"/>
      <w:sz w:val="16"/>
      <w:szCs w:val="16"/>
    </w:rPr>
  </w:style>
  <w:style w:type="paragraph" w:customStyle="1" w:styleId="Formatvorlageberschrift5ErsteZeile0cm">
    <w:name w:val="Formatvorlage Überschrift 5 + Erste Zeile:  0 cm"/>
    <w:basedOn w:val="berschrift5"/>
    <w:rsid w:val="008843B6"/>
    <w:pPr>
      <w:numPr>
        <w:numId w:val="5"/>
      </w:numPr>
    </w:pPr>
    <w:rPr>
      <w:szCs w:val="20"/>
    </w:rPr>
  </w:style>
  <w:style w:type="paragraph" w:styleId="Verzeichnis1">
    <w:name w:val="toc 1"/>
    <w:basedOn w:val="Standard"/>
    <w:next w:val="Standard"/>
    <w:autoRedefine/>
    <w:uiPriority w:val="39"/>
    <w:rsid w:val="00C17625"/>
    <w:pPr>
      <w:tabs>
        <w:tab w:val="left" w:pos="440"/>
        <w:tab w:val="right" w:leader="dot" w:pos="9062"/>
      </w:tabs>
      <w:ind w:left="284" w:hanging="284"/>
      <w:jc w:val="left"/>
    </w:pPr>
  </w:style>
  <w:style w:type="paragraph" w:styleId="Verzeichnis2">
    <w:name w:val="toc 2"/>
    <w:basedOn w:val="Standard"/>
    <w:next w:val="Standard"/>
    <w:autoRedefine/>
    <w:uiPriority w:val="39"/>
    <w:rsid w:val="00C17625"/>
    <w:pPr>
      <w:tabs>
        <w:tab w:val="left" w:pos="567"/>
        <w:tab w:val="right" w:leader="dot" w:pos="9062"/>
      </w:tabs>
      <w:ind w:left="709" w:hanging="469"/>
    </w:pPr>
  </w:style>
  <w:style w:type="paragraph" w:styleId="Verzeichnis3">
    <w:name w:val="toc 3"/>
    <w:basedOn w:val="Standard"/>
    <w:next w:val="Standard"/>
    <w:autoRedefine/>
    <w:uiPriority w:val="39"/>
    <w:rsid w:val="004D1EB8"/>
    <w:pPr>
      <w:tabs>
        <w:tab w:val="left" w:pos="880"/>
        <w:tab w:val="right" w:leader="dot" w:pos="9062"/>
      </w:tabs>
      <w:ind w:left="1134" w:hanging="654"/>
      <w:jc w:val="left"/>
    </w:pPr>
  </w:style>
  <w:style w:type="paragraph" w:styleId="Verzeichnis4">
    <w:name w:val="toc 4"/>
    <w:basedOn w:val="Standard"/>
    <w:next w:val="Standard"/>
    <w:autoRedefine/>
    <w:uiPriority w:val="39"/>
    <w:rsid w:val="000B263D"/>
    <w:pPr>
      <w:ind w:left="720"/>
    </w:pPr>
  </w:style>
  <w:style w:type="paragraph" w:styleId="Verzeichnis5">
    <w:name w:val="toc 5"/>
    <w:basedOn w:val="Standard"/>
    <w:next w:val="Standard"/>
    <w:autoRedefine/>
    <w:uiPriority w:val="39"/>
    <w:rsid w:val="000B263D"/>
    <w:pPr>
      <w:ind w:left="960"/>
    </w:pPr>
  </w:style>
  <w:style w:type="paragraph" w:styleId="Kopfzeile">
    <w:name w:val="header"/>
    <w:basedOn w:val="Standard"/>
    <w:link w:val="KopfzeileZchn"/>
    <w:uiPriority w:val="99"/>
    <w:rsid w:val="009511F2"/>
    <w:pPr>
      <w:tabs>
        <w:tab w:val="center" w:pos="4536"/>
        <w:tab w:val="right" w:pos="9072"/>
      </w:tabs>
    </w:pPr>
  </w:style>
  <w:style w:type="paragraph" w:styleId="Zitat">
    <w:name w:val="Quote"/>
    <w:basedOn w:val="Standard"/>
    <w:next w:val="Standard"/>
    <w:link w:val="ZitatZchn"/>
    <w:uiPriority w:val="29"/>
    <w:qFormat/>
    <w:rsid w:val="00BC3690"/>
    <w:rPr>
      <w:i/>
      <w:iCs/>
      <w:color w:val="000000"/>
    </w:rPr>
  </w:style>
  <w:style w:type="character" w:customStyle="1" w:styleId="ZitatZchn">
    <w:name w:val="Zitat Zchn"/>
    <w:link w:val="Zitat"/>
    <w:uiPriority w:val="29"/>
    <w:rsid w:val="00BC3690"/>
    <w:rPr>
      <w:rFonts w:ascii="Arial" w:hAnsi="Arial"/>
      <w:i/>
      <w:iCs/>
      <w:color w:val="000000"/>
      <w:sz w:val="24"/>
    </w:rPr>
  </w:style>
  <w:style w:type="character" w:customStyle="1" w:styleId="berschrift3Zchn">
    <w:name w:val="Überschrift 3 Zchn"/>
    <w:link w:val="berschrift3"/>
    <w:rsid w:val="00BD6AB8"/>
    <w:rPr>
      <w:rFonts w:ascii="Arial" w:hAnsi="Arial" w:cs="Arial"/>
      <w:b/>
      <w:bCs/>
      <w:sz w:val="26"/>
      <w:szCs w:val="26"/>
    </w:rPr>
  </w:style>
  <w:style w:type="character" w:styleId="BesuchterLink">
    <w:name w:val="FollowedHyperlink"/>
    <w:rsid w:val="00DA5BF8"/>
    <w:rPr>
      <w:color w:val="800080"/>
      <w:u w:val="single"/>
    </w:rPr>
  </w:style>
  <w:style w:type="character" w:customStyle="1" w:styleId="berschrift1Zchn">
    <w:name w:val="Überschrift 1 Zchn"/>
    <w:basedOn w:val="Absatz-Standardschriftart"/>
    <w:link w:val="berschrift1"/>
    <w:rsid w:val="009B5AE2"/>
    <w:rPr>
      <w:rFonts w:ascii="Arial" w:hAnsi="Arial" w:cs="Arial"/>
      <w:b/>
      <w:bCs/>
      <w:kern w:val="32"/>
      <w:sz w:val="32"/>
      <w:szCs w:val="32"/>
    </w:rPr>
  </w:style>
  <w:style w:type="character" w:customStyle="1" w:styleId="berschrift2Zchn">
    <w:name w:val="Überschrift 2 Zchn"/>
    <w:basedOn w:val="Absatz-Standardschriftart"/>
    <w:link w:val="berschrift2"/>
    <w:rsid w:val="009B5AE2"/>
    <w:rPr>
      <w:rFonts w:ascii="Arial" w:hAnsi="Arial" w:cs="Arial"/>
      <w:b/>
      <w:bCs/>
      <w:i/>
      <w:iCs/>
      <w:sz w:val="28"/>
      <w:szCs w:val="28"/>
    </w:rPr>
  </w:style>
  <w:style w:type="paragraph" w:styleId="Liste">
    <w:name w:val="List"/>
    <w:basedOn w:val="Standard"/>
    <w:rsid w:val="00557896"/>
    <w:pPr>
      <w:ind w:left="283" w:hanging="283"/>
      <w:contextualSpacing/>
    </w:pPr>
  </w:style>
  <w:style w:type="paragraph" w:styleId="Textkrper-Zeileneinzug">
    <w:name w:val="Body Text Indent"/>
    <w:basedOn w:val="Standard"/>
    <w:link w:val="Textkrper-ZeileneinzugZchn"/>
    <w:rsid w:val="00557896"/>
    <w:pPr>
      <w:ind w:left="283"/>
    </w:pPr>
  </w:style>
  <w:style w:type="character" w:customStyle="1" w:styleId="Textkrper-ZeileneinzugZchn">
    <w:name w:val="Textkörper-Zeileneinzug Zchn"/>
    <w:basedOn w:val="Absatz-Standardschriftart"/>
    <w:link w:val="Textkrper-Zeileneinzug"/>
    <w:rsid w:val="00557896"/>
    <w:rPr>
      <w:rFonts w:ascii="Arial" w:hAnsi="Arial"/>
      <w:sz w:val="24"/>
    </w:rPr>
  </w:style>
  <w:style w:type="paragraph" w:styleId="Textkrper-Erstzeileneinzug2">
    <w:name w:val="Body Text First Indent 2"/>
    <w:basedOn w:val="Textkrper-Zeileneinzug"/>
    <w:link w:val="Textkrper-Erstzeileneinzug2Zchn"/>
    <w:rsid w:val="00557896"/>
    <w:pPr>
      <w:spacing w:after="0"/>
      <w:ind w:left="360" w:firstLine="360"/>
    </w:pPr>
  </w:style>
  <w:style w:type="character" w:customStyle="1" w:styleId="Textkrper-Erstzeileneinzug2Zchn">
    <w:name w:val="Textkörper-Erstzeileneinzug 2 Zchn"/>
    <w:basedOn w:val="Textkrper-ZeileneinzugZchn"/>
    <w:link w:val="Textkrper-Erstzeileneinzug2"/>
    <w:rsid w:val="00557896"/>
    <w:rPr>
      <w:rFonts w:ascii="Arial" w:hAnsi="Arial"/>
      <w:sz w:val="24"/>
    </w:rPr>
  </w:style>
  <w:style w:type="table" w:styleId="Tabellenraster">
    <w:name w:val="Table Grid"/>
    <w:basedOn w:val="NormaleTabelle"/>
    <w:uiPriority w:val="39"/>
    <w:rsid w:val="00B17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55B51"/>
    <w:pPr>
      <w:autoSpaceDE w:val="0"/>
      <w:autoSpaceDN w:val="0"/>
      <w:adjustRightInd w:val="0"/>
    </w:pPr>
    <w:rPr>
      <w:rFonts w:ascii="Arial" w:hAnsi="Arial" w:cs="Arial"/>
      <w:color w:val="000000"/>
      <w:sz w:val="24"/>
      <w:szCs w:val="24"/>
    </w:rPr>
  </w:style>
  <w:style w:type="character" w:styleId="Kommentarzeichen">
    <w:name w:val="annotation reference"/>
    <w:basedOn w:val="Absatz-Standardschriftart"/>
    <w:rsid w:val="00CD2C64"/>
    <w:rPr>
      <w:sz w:val="16"/>
      <w:szCs w:val="16"/>
    </w:rPr>
  </w:style>
  <w:style w:type="paragraph" w:styleId="Kommentartext">
    <w:name w:val="annotation text"/>
    <w:basedOn w:val="Standard"/>
    <w:link w:val="KommentartextZchn"/>
    <w:rsid w:val="00CD2C64"/>
    <w:pPr>
      <w:spacing w:line="240" w:lineRule="auto"/>
    </w:pPr>
    <w:rPr>
      <w:sz w:val="20"/>
    </w:rPr>
  </w:style>
  <w:style w:type="character" w:customStyle="1" w:styleId="KommentartextZchn">
    <w:name w:val="Kommentartext Zchn"/>
    <w:basedOn w:val="Absatz-Standardschriftart"/>
    <w:link w:val="Kommentartext"/>
    <w:rsid w:val="00CD2C64"/>
    <w:rPr>
      <w:rFonts w:ascii="Arial" w:hAnsi="Arial"/>
    </w:rPr>
  </w:style>
  <w:style w:type="paragraph" w:styleId="Kommentarthema">
    <w:name w:val="annotation subject"/>
    <w:basedOn w:val="Kommentartext"/>
    <w:next w:val="Kommentartext"/>
    <w:link w:val="KommentarthemaZchn"/>
    <w:rsid w:val="00CD2C64"/>
    <w:rPr>
      <w:b/>
      <w:bCs/>
    </w:rPr>
  </w:style>
  <w:style w:type="character" w:customStyle="1" w:styleId="KommentarthemaZchn">
    <w:name w:val="Kommentarthema Zchn"/>
    <w:basedOn w:val="KommentartextZchn"/>
    <w:link w:val="Kommentarthema"/>
    <w:rsid w:val="00CD2C64"/>
    <w:rPr>
      <w:rFonts w:ascii="Arial" w:hAnsi="Arial"/>
      <w:b/>
      <w:bCs/>
    </w:rPr>
  </w:style>
  <w:style w:type="paragraph" w:styleId="Listenabsatz">
    <w:name w:val="List Paragraph"/>
    <w:basedOn w:val="Standard"/>
    <w:uiPriority w:val="34"/>
    <w:qFormat/>
    <w:rsid w:val="007705EA"/>
    <w:pPr>
      <w:ind w:left="720"/>
      <w:contextualSpacing/>
    </w:pPr>
  </w:style>
  <w:style w:type="character" w:customStyle="1" w:styleId="berschrift4Zchn">
    <w:name w:val="Überschrift 4 Zchn"/>
    <w:basedOn w:val="Absatz-Standardschriftart"/>
    <w:link w:val="berschrift4"/>
    <w:rsid w:val="00BD6AB8"/>
    <w:rPr>
      <w:rFonts w:ascii="Arial" w:hAnsi="Arial" w:cs="Arial"/>
      <w:b/>
      <w:bCs/>
      <w:sz w:val="24"/>
      <w:szCs w:val="28"/>
    </w:rPr>
  </w:style>
  <w:style w:type="character" w:customStyle="1" w:styleId="berschrift5Zchn">
    <w:name w:val="Überschrift 5 Zchn"/>
    <w:basedOn w:val="Absatz-Standardschriftart"/>
    <w:link w:val="berschrift5"/>
    <w:rsid w:val="004D36AD"/>
    <w:rPr>
      <w:rFonts w:ascii="Arial" w:hAnsi="Arial"/>
      <w:b/>
      <w:bCs/>
      <w:i/>
      <w:iCs/>
      <w:sz w:val="24"/>
      <w:szCs w:val="26"/>
    </w:rPr>
  </w:style>
  <w:style w:type="paragraph" w:styleId="Inhaltsverzeichnisberschrift">
    <w:name w:val="TOC Heading"/>
    <w:basedOn w:val="berschrift1"/>
    <w:next w:val="Standard"/>
    <w:uiPriority w:val="39"/>
    <w:unhideWhenUsed/>
    <w:qFormat/>
    <w:rsid w:val="00711DFD"/>
    <w:pPr>
      <w:keepLines/>
      <w:numPr>
        <w:numId w:val="0"/>
      </w:numPr>
      <w:spacing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Titel">
    <w:name w:val="Title"/>
    <w:basedOn w:val="Standard"/>
    <w:next w:val="Standard"/>
    <w:link w:val="TitelZchn"/>
    <w:qFormat/>
    <w:rsid w:val="00652C97"/>
    <w:pPr>
      <w:spacing w:after="60"/>
      <w:jc w:val="center"/>
      <w:outlineLvl w:val="0"/>
    </w:pPr>
    <w:rPr>
      <w:rFonts w:ascii="Cambria" w:hAnsi="Cambria"/>
      <w:b/>
      <w:bCs/>
      <w:kern w:val="28"/>
      <w:sz w:val="32"/>
      <w:szCs w:val="32"/>
    </w:rPr>
  </w:style>
  <w:style w:type="character" w:customStyle="1" w:styleId="TitelZchn">
    <w:name w:val="Titel Zchn"/>
    <w:basedOn w:val="Absatz-Standardschriftart"/>
    <w:link w:val="Titel"/>
    <w:rsid w:val="00652C97"/>
    <w:rPr>
      <w:rFonts w:ascii="Cambria" w:hAnsi="Cambria"/>
      <w:b/>
      <w:bCs/>
      <w:kern w:val="28"/>
      <w:sz w:val="32"/>
      <w:szCs w:val="32"/>
    </w:rPr>
  </w:style>
  <w:style w:type="character" w:customStyle="1" w:styleId="KopfzeileZchn">
    <w:name w:val="Kopfzeile Zchn"/>
    <w:basedOn w:val="Absatz-Standardschriftart"/>
    <w:link w:val="Kopfzeile"/>
    <w:uiPriority w:val="99"/>
    <w:rsid w:val="00C44D02"/>
    <w:rPr>
      <w:rFonts w:ascii="Arial" w:hAnsi="Arial" w:cs="Arial"/>
      <w:sz w:val="24"/>
    </w:rPr>
  </w:style>
  <w:style w:type="character" w:customStyle="1" w:styleId="FuzeileZchn">
    <w:name w:val="Fußzeile Zchn"/>
    <w:basedOn w:val="Absatz-Standardschriftart"/>
    <w:link w:val="Fuzeile"/>
    <w:uiPriority w:val="99"/>
    <w:rsid w:val="008F54FE"/>
    <w:rPr>
      <w:rFonts w:ascii="Arial" w:hAnsi="Arial" w:cs="Arial"/>
      <w:sz w:val="24"/>
    </w:rPr>
  </w:style>
  <w:style w:type="character" w:customStyle="1" w:styleId="lexem">
    <w:name w:val="lexem"/>
    <w:basedOn w:val="Absatz-Standardschriftart"/>
    <w:rsid w:val="009F44FB"/>
  </w:style>
  <w:style w:type="character" w:customStyle="1" w:styleId="Italic">
    <w:name w:val="Italic"/>
    <w:uiPriority w:val="99"/>
    <w:rsid w:val="00262C97"/>
    <w:rPr>
      <w:rFonts w:ascii="Arial" w:hAnsi="Arial"/>
      <w:i/>
      <w:color w:val="000000"/>
      <w:w w:val="100"/>
      <w:position w:val="0"/>
      <w:vertAlign w:val="baseline"/>
      <w:lang w:val="de-DE" w:eastAsia="x-none"/>
    </w:rPr>
  </w:style>
  <w:style w:type="character" w:customStyle="1" w:styleId="funotenziffer">
    <w:name w:val="fußnotenziffer"/>
    <w:uiPriority w:val="99"/>
    <w:rsid w:val="00262C97"/>
    <w:rPr>
      <w:rFonts w:ascii="Arial" w:hAnsi="Arial"/>
      <w:color w:val="000000"/>
      <w:vertAlign w:val="superscript"/>
    </w:rPr>
  </w:style>
  <w:style w:type="paragraph" w:customStyle="1" w:styleId="Footnotes100Footnotes">
    <w:name w:val="Footnotes 100 (Footnotes)"/>
    <w:basedOn w:val="Standard"/>
    <w:uiPriority w:val="99"/>
    <w:rsid w:val="00262C97"/>
    <w:pPr>
      <w:tabs>
        <w:tab w:val="left" w:pos="369"/>
      </w:tabs>
      <w:autoSpaceDE w:val="0"/>
      <w:autoSpaceDN w:val="0"/>
      <w:adjustRightInd w:val="0"/>
      <w:spacing w:before="0" w:after="0" w:line="190" w:lineRule="atLeast"/>
      <w:ind w:left="369" w:hanging="369"/>
      <w:textAlignment w:val="center"/>
    </w:pPr>
    <w:rPr>
      <w:rFonts w:eastAsia="MS Mincho" w:cs="FormataBQ-Regular"/>
      <w:color w:val="000000"/>
      <w:sz w:val="16"/>
      <w:szCs w:val="16"/>
    </w:rPr>
  </w:style>
  <w:style w:type="character" w:customStyle="1" w:styleId="Medium">
    <w:name w:val="Medium"/>
    <w:uiPriority w:val="99"/>
    <w:rsid w:val="009C3729"/>
    <w:rPr>
      <w:rFonts w:ascii="Arial" w:hAnsi="Arial"/>
      <w:b/>
      <w:color w:val="000000"/>
      <w:w w:val="100"/>
      <w:position w:val="0"/>
      <w:vertAlign w:val="baseline"/>
      <w:lang w:val="de-D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52391">
      <w:bodyDiv w:val="1"/>
      <w:marLeft w:val="0"/>
      <w:marRight w:val="0"/>
      <w:marTop w:val="0"/>
      <w:marBottom w:val="0"/>
      <w:divBdr>
        <w:top w:val="none" w:sz="0" w:space="0" w:color="auto"/>
        <w:left w:val="none" w:sz="0" w:space="0" w:color="auto"/>
        <w:bottom w:val="none" w:sz="0" w:space="0" w:color="auto"/>
        <w:right w:val="none" w:sz="0" w:space="0" w:color="auto"/>
      </w:divBdr>
    </w:div>
    <w:div w:id="81413963">
      <w:bodyDiv w:val="1"/>
      <w:marLeft w:val="0"/>
      <w:marRight w:val="0"/>
      <w:marTop w:val="0"/>
      <w:marBottom w:val="0"/>
      <w:divBdr>
        <w:top w:val="none" w:sz="0" w:space="0" w:color="auto"/>
        <w:left w:val="none" w:sz="0" w:space="0" w:color="auto"/>
        <w:bottom w:val="none" w:sz="0" w:space="0" w:color="auto"/>
        <w:right w:val="none" w:sz="0" w:space="0" w:color="auto"/>
      </w:divBdr>
    </w:div>
    <w:div w:id="103355743">
      <w:bodyDiv w:val="1"/>
      <w:marLeft w:val="0"/>
      <w:marRight w:val="0"/>
      <w:marTop w:val="0"/>
      <w:marBottom w:val="0"/>
      <w:divBdr>
        <w:top w:val="none" w:sz="0" w:space="0" w:color="auto"/>
        <w:left w:val="none" w:sz="0" w:space="0" w:color="auto"/>
        <w:bottom w:val="none" w:sz="0" w:space="0" w:color="auto"/>
        <w:right w:val="none" w:sz="0" w:space="0" w:color="auto"/>
      </w:divBdr>
    </w:div>
    <w:div w:id="152454838">
      <w:bodyDiv w:val="1"/>
      <w:marLeft w:val="0"/>
      <w:marRight w:val="0"/>
      <w:marTop w:val="0"/>
      <w:marBottom w:val="0"/>
      <w:divBdr>
        <w:top w:val="none" w:sz="0" w:space="0" w:color="auto"/>
        <w:left w:val="none" w:sz="0" w:space="0" w:color="auto"/>
        <w:bottom w:val="none" w:sz="0" w:space="0" w:color="auto"/>
        <w:right w:val="none" w:sz="0" w:space="0" w:color="auto"/>
      </w:divBdr>
    </w:div>
    <w:div w:id="189951092">
      <w:bodyDiv w:val="1"/>
      <w:marLeft w:val="0"/>
      <w:marRight w:val="0"/>
      <w:marTop w:val="0"/>
      <w:marBottom w:val="0"/>
      <w:divBdr>
        <w:top w:val="none" w:sz="0" w:space="0" w:color="auto"/>
        <w:left w:val="none" w:sz="0" w:space="0" w:color="auto"/>
        <w:bottom w:val="none" w:sz="0" w:space="0" w:color="auto"/>
        <w:right w:val="none" w:sz="0" w:space="0" w:color="auto"/>
      </w:divBdr>
    </w:div>
    <w:div w:id="192428346">
      <w:bodyDiv w:val="1"/>
      <w:marLeft w:val="0"/>
      <w:marRight w:val="0"/>
      <w:marTop w:val="0"/>
      <w:marBottom w:val="0"/>
      <w:divBdr>
        <w:top w:val="none" w:sz="0" w:space="0" w:color="auto"/>
        <w:left w:val="none" w:sz="0" w:space="0" w:color="auto"/>
        <w:bottom w:val="none" w:sz="0" w:space="0" w:color="auto"/>
        <w:right w:val="none" w:sz="0" w:space="0" w:color="auto"/>
      </w:divBdr>
      <w:divsChild>
        <w:div w:id="430399962">
          <w:marLeft w:val="0"/>
          <w:marRight w:val="0"/>
          <w:marTop w:val="0"/>
          <w:marBottom w:val="0"/>
          <w:divBdr>
            <w:top w:val="none" w:sz="0" w:space="0" w:color="auto"/>
            <w:left w:val="none" w:sz="0" w:space="0" w:color="auto"/>
            <w:bottom w:val="none" w:sz="0" w:space="0" w:color="auto"/>
            <w:right w:val="none" w:sz="0" w:space="0" w:color="auto"/>
          </w:divBdr>
        </w:div>
      </w:divsChild>
    </w:div>
    <w:div w:id="230311351">
      <w:bodyDiv w:val="1"/>
      <w:marLeft w:val="0"/>
      <w:marRight w:val="0"/>
      <w:marTop w:val="0"/>
      <w:marBottom w:val="0"/>
      <w:divBdr>
        <w:top w:val="none" w:sz="0" w:space="0" w:color="auto"/>
        <w:left w:val="none" w:sz="0" w:space="0" w:color="auto"/>
        <w:bottom w:val="none" w:sz="0" w:space="0" w:color="auto"/>
        <w:right w:val="none" w:sz="0" w:space="0" w:color="auto"/>
      </w:divBdr>
    </w:div>
    <w:div w:id="231937680">
      <w:bodyDiv w:val="1"/>
      <w:marLeft w:val="0"/>
      <w:marRight w:val="0"/>
      <w:marTop w:val="0"/>
      <w:marBottom w:val="0"/>
      <w:divBdr>
        <w:top w:val="none" w:sz="0" w:space="0" w:color="auto"/>
        <w:left w:val="none" w:sz="0" w:space="0" w:color="auto"/>
        <w:bottom w:val="none" w:sz="0" w:space="0" w:color="auto"/>
        <w:right w:val="none" w:sz="0" w:space="0" w:color="auto"/>
      </w:divBdr>
    </w:div>
    <w:div w:id="233316957">
      <w:bodyDiv w:val="1"/>
      <w:marLeft w:val="0"/>
      <w:marRight w:val="0"/>
      <w:marTop w:val="0"/>
      <w:marBottom w:val="0"/>
      <w:divBdr>
        <w:top w:val="none" w:sz="0" w:space="0" w:color="auto"/>
        <w:left w:val="none" w:sz="0" w:space="0" w:color="auto"/>
        <w:bottom w:val="none" w:sz="0" w:space="0" w:color="auto"/>
        <w:right w:val="none" w:sz="0" w:space="0" w:color="auto"/>
      </w:divBdr>
    </w:div>
    <w:div w:id="277297146">
      <w:bodyDiv w:val="1"/>
      <w:marLeft w:val="0"/>
      <w:marRight w:val="0"/>
      <w:marTop w:val="0"/>
      <w:marBottom w:val="0"/>
      <w:divBdr>
        <w:top w:val="none" w:sz="0" w:space="0" w:color="auto"/>
        <w:left w:val="none" w:sz="0" w:space="0" w:color="auto"/>
        <w:bottom w:val="none" w:sz="0" w:space="0" w:color="auto"/>
        <w:right w:val="none" w:sz="0" w:space="0" w:color="auto"/>
      </w:divBdr>
    </w:div>
    <w:div w:id="286857517">
      <w:bodyDiv w:val="1"/>
      <w:marLeft w:val="0"/>
      <w:marRight w:val="0"/>
      <w:marTop w:val="0"/>
      <w:marBottom w:val="0"/>
      <w:divBdr>
        <w:top w:val="none" w:sz="0" w:space="0" w:color="auto"/>
        <w:left w:val="none" w:sz="0" w:space="0" w:color="auto"/>
        <w:bottom w:val="none" w:sz="0" w:space="0" w:color="auto"/>
        <w:right w:val="none" w:sz="0" w:space="0" w:color="auto"/>
      </w:divBdr>
    </w:div>
    <w:div w:id="321929923">
      <w:bodyDiv w:val="1"/>
      <w:marLeft w:val="0"/>
      <w:marRight w:val="0"/>
      <w:marTop w:val="0"/>
      <w:marBottom w:val="0"/>
      <w:divBdr>
        <w:top w:val="none" w:sz="0" w:space="0" w:color="auto"/>
        <w:left w:val="none" w:sz="0" w:space="0" w:color="auto"/>
        <w:bottom w:val="none" w:sz="0" w:space="0" w:color="auto"/>
        <w:right w:val="none" w:sz="0" w:space="0" w:color="auto"/>
      </w:divBdr>
    </w:div>
    <w:div w:id="345982310">
      <w:bodyDiv w:val="1"/>
      <w:marLeft w:val="0"/>
      <w:marRight w:val="0"/>
      <w:marTop w:val="0"/>
      <w:marBottom w:val="0"/>
      <w:divBdr>
        <w:top w:val="none" w:sz="0" w:space="0" w:color="auto"/>
        <w:left w:val="none" w:sz="0" w:space="0" w:color="auto"/>
        <w:bottom w:val="none" w:sz="0" w:space="0" w:color="auto"/>
        <w:right w:val="none" w:sz="0" w:space="0" w:color="auto"/>
      </w:divBdr>
    </w:div>
    <w:div w:id="359743719">
      <w:bodyDiv w:val="1"/>
      <w:marLeft w:val="0"/>
      <w:marRight w:val="0"/>
      <w:marTop w:val="0"/>
      <w:marBottom w:val="0"/>
      <w:divBdr>
        <w:top w:val="none" w:sz="0" w:space="0" w:color="auto"/>
        <w:left w:val="none" w:sz="0" w:space="0" w:color="auto"/>
        <w:bottom w:val="none" w:sz="0" w:space="0" w:color="auto"/>
        <w:right w:val="none" w:sz="0" w:space="0" w:color="auto"/>
      </w:divBdr>
    </w:div>
    <w:div w:id="370611568">
      <w:bodyDiv w:val="1"/>
      <w:marLeft w:val="0"/>
      <w:marRight w:val="0"/>
      <w:marTop w:val="0"/>
      <w:marBottom w:val="0"/>
      <w:divBdr>
        <w:top w:val="none" w:sz="0" w:space="0" w:color="auto"/>
        <w:left w:val="none" w:sz="0" w:space="0" w:color="auto"/>
        <w:bottom w:val="none" w:sz="0" w:space="0" w:color="auto"/>
        <w:right w:val="none" w:sz="0" w:space="0" w:color="auto"/>
      </w:divBdr>
    </w:div>
    <w:div w:id="382489548">
      <w:bodyDiv w:val="1"/>
      <w:marLeft w:val="0"/>
      <w:marRight w:val="0"/>
      <w:marTop w:val="0"/>
      <w:marBottom w:val="0"/>
      <w:divBdr>
        <w:top w:val="none" w:sz="0" w:space="0" w:color="auto"/>
        <w:left w:val="none" w:sz="0" w:space="0" w:color="auto"/>
        <w:bottom w:val="none" w:sz="0" w:space="0" w:color="auto"/>
        <w:right w:val="none" w:sz="0" w:space="0" w:color="auto"/>
      </w:divBdr>
    </w:div>
    <w:div w:id="387580135">
      <w:bodyDiv w:val="1"/>
      <w:marLeft w:val="0"/>
      <w:marRight w:val="0"/>
      <w:marTop w:val="0"/>
      <w:marBottom w:val="0"/>
      <w:divBdr>
        <w:top w:val="none" w:sz="0" w:space="0" w:color="auto"/>
        <w:left w:val="none" w:sz="0" w:space="0" w:color="auto"/>
        <w:bottom w:val="none" w:sz="0" w:space="0" w:color="auto"/>
        <w:right w:val="none" w:sz="0" w:space="0" w:color="auto"/>
      </w:divBdr>
    </w:div>
    <w:div w:id="393625238">
      <w:bodyDiv w:val="1"/>
      <w:marLeft w:val="0"/>
      <w:marRight w:val="0"/>
      <w:marTop w:val="0"/>
      <w:marBottom w:val="0"/>
      <w:divBdr>
        <w:top w:val="none" w:sz="0" w:space="0" w:color="auto"/>
        <w:left w:val="none" w:sz="0" w:space="0" w:color="auto"/>
        <w:bottom w:val="none" w:sz="0" w:space="0" w:color="auto"/>
        <w:right w:val="none" w:sz="0" w:space="0" w:color="auto"/>
      </w:divBdr>
    </w:div>
    <w:div w:id="394275862">
      <w:bodyDiv w:val="1"/>
      <w:marLeft w:val="0"/>
      <w:marRight w:val="0"/>
      <w:marTop w:val="0"/>
      <w:marBottom w:val="0"/>
      <w:divBdr>
        <w:top w:val="none" w:sz="0" w:space="0" w:color="auto"/>
        <w:left w:val="none" w:sz="0" w:space="0" w:color="auto"/>
        <w:bottom w:val="none" w:sz="0" w:space="0" w:color="auto"/>
        <w:right w:val="none" w:sz="0" w:space="0" w:color="auto"/>
      </w:divBdr>
    </w:div>
    <w:div w:id="396166983">
      <w:bodyDiv w:val="1"/>
      <w:marLeft w:val="0"/>
      <w:marRight w:val="0"/>
      <w:marTop w:val="0"/>
      <w:marBottom w:val="0"/>
      <w:divBdr>
        <w:top w:val="none" w:sz="0" w:space="0" w:color="auto"/>
        <w:left w:val="none" w:sz="0" w:space="0" w:color="auto"/>
        <w:bottom w:val="none" w:sz="0" w:space="0" w:color="auto"/>
        <w:right w:val="none" w:sz="0" w:space="0" w:color="auto"/>
      </w:divBdr>
      <w:divsChild>
        <w:div w:id="166138189">
          <w:marLeft w:val="0"/>
          <w:marRight w:val="0"/>
          <w:marTop w:val="0"/>
          <w:marBottom w:val="0"/>
          <w:divBdr>
            <w:top w:val="none" w:sz="0" w:space="0" w:color="auto"/>
            <w:left w:val="none" w:sz="0" w:space="0" w:color="auto"/>
            <w:bottom w:val="none" w:sz="0" w:space="0" w:color="auto"/>
            <w:right w:val="none" w:sz="0" w:space="0" w:color="auto"/>
          </w:divBdr>
        </w:div>
        <w:div w:id="871115930">
          <w:marLeft w:val="0"/>
          <w:marRight w:val="0"/>
          <w:marTop w:val="0"/>
          <w:marBottom w:val="0"/>
          <w:divBdr>
            <w:top w:val="none" w:sz="0" w:space="0" w:color="auto"/>
            <w:left w:val="none" w:sz="0" w:space="0" w:color="auto"/>
            <w:bottom w:val="none" w:sz="0" w:space="0" w:color="auto"/>
            <w:right w:val="none" w:sz="0" w:space="0" w:color="auto"/>
          </w:divBdr>
        </w:div>
        <w:div w:id="1182160610">
          <w:marLeft w:val="0"/>
          <w:marRight w:val="0"/>
          <w:marTop w:val="0"/>
          <w:marBottom w:val="0"/>
          <w:divBdr>
            <w:top w:val="none" w:sz="0" w:space="0" w:color="auto"/>
            <w:left w:val="none" w:sz="0" w:space="0" w:color="auto"/>
            <w:bottom w:val="none" w:sz="0" w:space="0" w:color="auto"/>
            <w:right w:val="none" w:sz="0" w:space="0" w:color="auto"/>
          </w:divBdr>
        </w:div>
        <w:div w:id="2028748998">
          <w:marLeft w:val="0"/>
          <w:marRight w:val="0"/>
          <w:marTop w:val="0"/>
          <w:marBottom w:val="0"/>
          <w:divBdr>
            <w:top w:val="none" w:sz="0" w:space="0" w:color="auto"/>
            <w:left w:val="none" w:sz="0" w:space="0" w:color="auto"/>
            <w:bottom w:val="none" w:sz="0" w:space="0" w:color="auto"/>
            <w:right w:val="none" w:sz="0" w:space="0" w:color="auto"/>
          </w:divBdr>
        </w:div>
        <w:div w:id="2064988357">
          <w:marLeft w:val="0"/>
          <w:marRight w:val="0"/>
          <w:marTop w:val="0"/>
          <w:marBottom w:val="0"/>
          <w:divBdr>
            <w:top w:val="none" w:sz="0" w:space="0" w:color="auto"/>
            <w:left w:val="none" w:sz="0" w:space="0" w:color="auto"/>
            <w:bottom w:val="none" w:sz="0" w:space="0" w:color="auto"/>
            <w:right w:val="none" w:sz="0" w:space="0" w:color="auto"/>
          </w:divBdr>
        </w:div>
      </w:divsChild>
    </w:div>
    <w:div w:id="406267583">
      <w:bodyDiv w:val="1"/>
      <w:marLeft w:val="0"/>
      <w:marRight w:val="0"/>
      <w:marTop w:val="0"/>
      <w:marBottom w:val="0"/>
      <w:divBdr>
        <w:top w:val="none" w:sz="0" w:space="0" w:color="auto"/>
        <w:left w:val="none" w:sz="0" w:space="0" w:color="auto"/>
        <w:bottom w:val="none" w:sz="0" w:space="0" w:color="auto"/>
        <w:right w:val="none" w:sz="0" w:space="0" w:color="auto"/>
      </w:divBdr>
      <w:divsChild>
        <w:div w:id="665323337">
          <w:marLeft w:val="0"/>
          <w:marRight w:val="0"/>
          <w:marTop w:val="0"/>
          <w:marBottom w:val="0"/>
          <w:divBdr>
            <w:top w:val="none" w:sz="0" w:space="0" w:color="auto"/>
            <w:left w:val="none" w:sz="0" w:space="0" w:color="auto"/>
            <w:bottom w:val="none" w:sz="0" w:space="0" w:color="auto"/>
            <w:right w:val="none" w:sz="0" w:space="0" w:color="auto"/>
          </w:divBdr>
          <w:divsChild>
            <w:div w:id="75243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77518">
      <w:bodyDiv w:val="1"/>
      <w:marLeft w:val="0"/>
      <w:marRight w:val="0"/>
      <w:marTop w:val="0"/>
      <w:marBottom w:val="0"/>
      <w:divBdr>
        <w:top w:val="none" w:sz="0" w:space="0" w:color="auto"/>
        <w:left w:val="none" w:sz="0" w:space="0" w:color="auto"/>
        <w:bottom w:val="none" w:sz="0" w:space="0" w:color="auto"/>
        <w:right w:val="none" w:sz="0" w:space="0" w:color="auto"/>
      </w:divBdr>
    </w:div>
    <w:div w:id="508835309">
      <w:bodyDiv w:val="1"/>
      <w:marLeft w:val="0"/>
      <w:marRight w:val="0"/>
      <w:marTop w:val="0"/>
      <w:marBottom w:val="0"/>
      <w:divBdr>
        <w:top w:val="none" w:sz="0" w:space="0" w:color="auto"/>
        <w:left w:val="none" w:sz="0" w:space="0" w:color="auto"/>
        <w:bottom w:val="none" w:sz="0" w:space="0" w:color="auto"/>
        <w:right w:val="none" w:sz="0" w:space="0" w:color="auto"/>
      </w:divBdr>
    </w:div>
    <w:div w:id="546260439">
      <w:bodyDiv w:val="1"/>
      <w:marLeft w:val="0"/>
      <w:marRight w:val="0"/>
      <w:marTop w:val="0"/>
      <w:marBottom w:val="0"/>
      <w:divBdr>
        <w:top w:val="none" w:sz="0" w:space="0" w:color="auto"/>
        <w:left w:val="none" w:sz="0" w:space="0" w:color="auto"/>
        <w:bottom w:val="none" w:sz="0" w:space="0" w:color="auto"/>
        <w:right w:val="none" w:sz="0" w:space="0" w:color="auto"/>
      </w:divBdr>
    </w:div>
    <w:div w:id="553010958">
      <w:bodyDiv w:val="1"/>
      <w:marLeft w:val="0"/>
      <w:marRight w:val="0"/>
      <w:marTop w:val="0"/>
      <w:marBottom w:val="0"/>
      <w:divBdr>
        <w:top w:val="none" w:sz="0" w:space="0" w:color="auto"/>
        <w:left w:val="none" w:sz="0" w:space="0" w:color="auto"/>
        <w:bottom w:val="none" w:sz="0" w:space="0" w:color="auto"/>
        <w:right w:val="none" w:sz="0" w:space="0" w:color="auto"/>
      </w:divBdr>
    </w:div>
    <w:div w:id="605385283">
      <w:bodyDiv w:val="1"/>
      <w:marLeft w:val="0"/>
      <w:marRight w:val="0"/>
      <w:marTop w:val="0"/>
      <w:marBottom w:val="0"/>
      <w:divBdr>
        <w:top w:val="none" w:sz="0" w:space="0" w:color="auto"/>
        <w:left w:val="none" w:sz="0" w:space="0" w:color="auto"/>
        <w:bottom w:val="none" w:sz="0" w:space="0" w:color="auto"/>
        <w:right w:val="none" w:sz="0" w:space="0" w:color="auto"/>
      </w:divBdr>
      <w:divsChild>
        <w:div w:id="846603097">
          <w:marLeft w:val="0"/>
          <w:marRight w:val="0"/>
          <w:marTop w:val="0"/>
          <w:marBottom w:val="0"/>
          <w:divBdr>
            <w:top w:val="none" w:sz="0" w:space="0" w:color="auto"/>
            <w:left w:val="none" w:sz="0" w:space="0" w:color="auto"/>
            <w:bottom w:val="none" w:sz="0" w:space="0" w:color="auto"/>
            <w:right w:val="none" w:sz="0" w:space="0" w:color="auto"/>
          </w:divBdr>
          <w:divsChild>
            <w:div w:id="441609425">
              <w:marLeft w:val="0"/>
              <w:marRight w:val="0"/>
              <w:marTop w:val="0"/>
              <w:marBottom w:val="0"/>
              <w:divBdr>
                <w:top w:val="none" w:sz="0" w:space="0" w:color="auto"/>
                <w:left w:val="none" w:sz="0" w:space="0" w:color="auto"/>
                <w:bottom w:val="none" w:sz="0" w:space="0" w:color="auto"/>
                <w:right w:val="none" w:sz="0" w:space="0" w:color="auto"/>
              </w:divBdr>
              <w:divsChild>
                <w:div w:id="116243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269444">
      <w:bodyDiv w:val="1"/>
      <w:marLeft w:val="0"/>
      <w:marRight w:val="0"/>
      <w:marTop w:val="0"/>
      <w:marBottom w:val="0"/>
      <w:divBdr>
        <w:top w:val="none" w:sz="0" w:space="0" w:color="auto"/>
        <w:left w:val="none" w:sz="0" w:space="0" w:color="auto"/>
        <w:bottom w:val="none" w:sz="0" w:space="0" w:color="auto"/>
        <w:right w:val="none" w:sz="0" w:space="0" w:color="auto"/>
      </w:divBdr>
    </w:div>
    <w:div w:id="626200522">
      <w:bodyDiv w:val="1"/>
      <w:marLeft w:val="0"/>
      <w:marRight w:val="0"/>
      <w:marTop w:val="0"/>
      <w:marBottom w:val="0"/>
      <w:divBdr>
        <w:top w:val="none" w:sz="0" w:space="0" w:color="auto"/>
        <w:left w:val="none" w:sz="0" w:space="0" w:color="auto"/>
        <w:bottom w:val="none" w:sz="0" w:space="0" w:color="auto"/>
        <w:right w:val="none" w:sz="0" w:space="0" w:color="auto"/>
      </w:divBdr>
    </w:div>
    <w:div w:id="639113680">
      <w:bodyDiv w:val="1"/>
      <w:marLeft w:val="0"/>
      <w:marRight w:val="0"/>
      <w:marTop w:val="0"/>
      <w:marBottom w:val="0"/>
      <w:divBdr>
        <w:top w:val="none" w:sz="0" w:space="0" w:color="auto"/>
        <w:left w:val="none" w:sz="0" w:space="0" w:color="auto"/>
        <w:bottom w:val="none" w:sz="0" w:space="0" w:color="auto"/>
        <w:right w:val="none" w:sz="0" w:space="0" w:color="auto"/>
      </w:divBdr>
    </w:div>
    <w:div w:id="655836353">
      <w:bodyDiv w:val="1"/>
      <w:marLeft w:val="0"/>
      <w:marRight w:val="0"/>
      <w:marTop w:val="0"/>
      <w:marBottom w:val="0"/>
      <w:divBdr>
        <w:top w:val="none" w:sz="0" w:space="0" w:color="auto"/>
        <w:left w:val="none" w:sz="0" w:space="0" w:color="auto"/>
        <w:bottom w:val="none" w:sz="0" w:space="0" w:color="auto"/>
        <w:right w:val="none" w:sz="0" w:space="0" w:color="auto"/>
      </w:divBdr>
    </w:div>
    <w:div w:id="677850277">
      <w:bodyDiv w:val="1"/>
      <w:marLeft w:val="0"/>
      <w:marRight w:val="0"/>
      <w:marTop w:val="0"/>
      <w:marBottom w:val="0"/>
      <w:divBdr>
        <w:top w:val="none" w:sz="0" w:space="0" w:color="auto"/>
        <w:left w:val="none" w:sz="0" w:space="0" w:color="auto"/>
        <w:bottom w:val="none" w:sz="0" w:space="0" w:color="auto"/>
        <w:right w:val="none" w:sz="0" w:space="0" w:color="auto"/>
      </w:divBdr>
      <w:divsChild>
        <w:div w:id="60103523">
          <w:marLeft w:val="0"/>
          <w:marRight w:val="0"/>
          <w:marTop w:val="0"/>
          <w:marBottom w:val="0"/>
          <w:divBdr>
            <w:top w:val="none" w:sz="0" w:space="0" w:color="auto"/>
            <w:left w:val="none" w:sz="0" w:space="0" w:color="auto"/>
            <w:bottom w:val="none" w:sz="0" w:space="0" w:color="auto"/>
            <w:right w:val="none" w:sz="0" w:space="0" w:color="auto"/>
          </w:divBdr>
        </w:div>
        <w:div w:id="166867754">
          <w:marLeft w:val="0"/>
          <w:marRight w:val="0"/>
          <w:marTop w:val="0"/>
          <w:marBottom w:val="0"/>
          <w:divBdr>
            <w:top w:val="none" w:sz="0" w:space="0" w:color="auto"/>
            <w:left w:val="none" w:sz="0" w:space="0" w:color="auto"/>
            <w:bottom w:val="none" w:sz="0" w:space="0" w:color="auto"/>
            <w:right w:val="none" w:sz="0" w:space="0" w:color="auto"/>
          </w:divBdr>
        </w:div>
        <w:div w:id="205413207">
          <w:marLeft w:val="0"/>
          <w:marRight w:val="0"/>
          <w:marTop w:val="0"/>
          <w:marBottom w:val="0"/>
          <w:divBdr>
            <w:top w:val="none" w:sz="0" w:space="0" w:color="auto"/>
            <w:left w:val="none" w:sz="0" w:space="0" w:color="auto"/>
            <w:bottom w:val="none" w:sz="0" w:space="0" w:color="auto"/>
            <w:right w:val="none" w:sz="0" w:space="0" w:color="auto"/>
          </w:divBdr>
        </w:div>
        <w:div w:id="321200998">
          <w:marLeft w:val="0"/>
          <w:marRight w:val="0"/>
          <w:marTop w:val="0"/>
          <w:marBottom w:val="0"/>
          <w:divBdr>
            <w:top w:val="none" w:sz="0" w:space="0" w:color="auto"/>
            <w:left w:val="none" w:sz="0" w:space="0" w:color="auto"/>
            <w:bottom w:val="none" w:sz="0" w:space="0" w:color="auto"/>
            <w:right w:val="none" w:sz="0" w:space="0" w:color="auto"/>
          </w:divBdr>
        </w:div>
        <w:div w:id="387075223">
          <w:marLeft w:val="0"/>
          <w:marRight w:val="0"/>
          <w:marTop w:val="0"/>
          <w:marBottom w:val="0"/>
          <w:divBdr>
            <w:top w:val="none" w:sz="0" w:space="0" w:color="auto"/>
            <w:left w:val="none" w:sz="0" w:space="0" w:color="auto"/>
            <w:bottom w:val="none" w:sz="0" w:space="0" w:color="auto"/>
            <w:right w:val="none" w:sz="0" w:space="0" w:color="auto"/>
          </w:divBdr>
        </w:div>
        <w:div w:id="419252706">
          <w:marLeft w:val="0"/>
          <w:marRight w:val="0"/>
          <w:marTop w:val="0"/>
          <w:marBottom w:val="0"/>
          <w:divBdr>
            <w:top w:val="none" w:sz="0" w:space="0" w:color="auto"/>
            <w:left w:val="none" w:sz="0" w:space="0" w:color="auto"/>
            <w:bottom w:val="none" w:sz="0" w:space="0" w:color="auto"/>
            <w:right w:val="none" w:sz="0" w:space="0" w:color="auto"/>
          </w:divBdr>
        </w:div>
        <w:div w:id="481968218">
          <w:marLeft w:val="0"/>
          <w:marRight w:val="0"/>
          <w:marTop w:val="0"/>
          <w:marBottom w:val="0"/>
          <w:divBdr>
            <w:top w:val="none" w:sz="0" w:space="0" w:color="auto"/>
            <w:left w:val="none" w:sz="0" w:space="0" w:color="auto"/>
            <w:bottom w:val="none" w:sz="0" w:space="0" w:color="auto"/>
            <w:right w:val="none" w:sz="0" w:space="0" w:color="auto"/>
          </w:divBdr>
        </w:div>
        <w:div w:id="482426363">
          <w:marLeft w:val="0"/>
          <w:marRight w:val="0"/>
          <w:marTop w:val="0"/>
          <w:marBottom w:val="0"/>
          <w:divBdr>
            <w:top w:val="none" w:sz="0" w:space="0" w:color="auto"/>
            <w:left w:val="none" w:sz="0" w:space="0" w:color="auto"/>
            <w:bottom w:val="none" w:sz="0" w:space="0" w:color="auto"/>
            <w:right w:val="none" w:sz="0" w:space="0" w:color="auto"/>
          </w:divBdr>
        </w:div>
        <w:div w:id="684483192">
          <w:marLeft w:val="0"/>
          <w:marRight w:val="0"/>
          <w:marTop w:val="0"/>
          <w:marBottom w:val="0"/>
          <w:divBdr>
            <w:top w:val="none" w:sz="0" w:space="0" w:color="auto"/>
            <w:left w:val="none" w:sz="0" w:space="0" w:color="auto"/>
            <w:bottom w:val="none" w:sz="0" w:space="0" w:color="auto"/>
            <w:right w:val="none" w:sz="0" w:space="0" w:color="auto"/>
          </w:divBdr>
        </w:div>
        <w:div w:id="688486367">
          <w:marLeft w:val="0"/>
          <w:marRight w:val="0"/>
          <w:marTop w:val="0"/>
          <w:marBottom w:val="0"/>
          <w:divBdr>
            <w:top w:val="none" w:sz="0" w:space="0" w:color="auto"/>
            <w:left w:val="none" w:sz="0" w:space="0" w:color="auto"/>
            <w:bottom w:val="none" w:sz="0" w:space="0" w:color="auto"/>
            <w:right w:val="none" w:sz="0" w:space="0" w:color="auto"/>
          </w:divBdr>
        </w:div>
        <w:div w:id="836918567">
          <w:marLeft w:val="0"/>
          <w:marRight w:val="0"/>
          <w:marTop w:val="0"/>
          <w:marBottom w:val="0"/>
          <w:divBdr>
            <w:top w:val="none" w:sz="0" w:space="0" w:color="auto"/>
            <w:left w:val="none" w:sz="0" w:space="0" w:color="auto"/>
            <w:bottom w:val="none" w:sz="0" w:space="0" w:color="auto"/>
            <w:right w:val="none" w:sz="0" w:space="0" w:color="auto"/>
          </w:divBdr>
        </w:div>
        <w:div w:id="839277172">
          <w:marLeft w:val="0"/>
          <w:marRight w:val="0"/>
          <w:marTop w:val="0"/>
          <w:marBottom w:val="0"/>
          <w:divBdr>
            <w:top w:val="none" w:sz="0" w:space="0" w:color="auto"/>
            <w:left w:val="none" w:sz="0" w:space="0" w:color="auto"/>
            <w:bottom w:val="none" w:sz="0" w:space="0" w:color="auto"/>
            <w:right w:val="none" w:sz="0" w:space="0" w:color="auto"/>
          </w:divBdr>
        </w:div>
        <w:div w:id="874343993">
          <w:marLeft w:val="0"/>
          <w:marRight w:val="0"/>
          <w:marTop w:val="0"/>
          <w:marBottom w:val="0"/>
          <w:divBdr>
            <w:top w:val="none" w:sz="0" w:space="0" w:color="auto"/>
            <w:left w:val="none" w:sz="0" w:space="0" w:color="auto"/>
            <w:bottom w:val="none" w:sz="0" w:space="0" w:color="auto"/>
            <w:right w:val="none" w:sz="0" w:space="0" w:color="auto"/>
          </w:divBdr>
        </w:div>
        <w:div w:id="875701762">
          <w:marLeft w:val="0"/>
          <w:marRight w:val="0"/>
          <w:marTop w:val="0"/>
          <w:marBottom w:val="0"/>
          <w:divBdr>
            <w:top w:val="none" w:sz="0" w:space="0" w:color="auto"/>
            <w:left w:val="none" w:sz="0" w:space="0" w:color="auto"/>
            <w:bottom w:val="none" w:sz="0" w:space="0" w:color="auto"/>
            <w:right w:val="none" w:sz="0" w:space="0" w:color="auto"/>
          </w:divBdr>
        </w:div>
        <w:div w:id="963586381">
          <w:marLeft w:val="0"/>
          <w:marRight w:val="0"/>
          <w:marTop w:val="0"/>
          <w:marBottom w:val="0"/>
          <w:divBdr>
            <w:top w:val="none" w:sz="0" w:space="0" w:color="auto"/>
            <w:left w:val="none" w:sz="0" w:space="0" w:color="auto"/>
            <w:bottom w:val="none" w:sz="0" w:space="0" w:color="auto"/>
            <w:right w:val="none" w:sz="0" w:space="0" w:color="auto"/>
          </w:divBdr>
        </w:div>
        <w:div w:id="1005477839">
          <w:marLeft w:val="0"/>
          <w:marRight w:val="0"/>
          <w:marTop w:val="0"/>
          <w:marBottom w:val="0"/>
          <w:divBdr>
            <w:top w:val="none" w:sz="0" w:space="0" w:color="auto"/>
            <w:left w:val="none" w:sz="0" w:space="0" w:color="auto"/>
            <w:bottom w:val="none" w:sz="0" w:space="0" w:color="auto"/>
            <w:right w:val="none" w:sz="0" w:space="0" w:color="auto"/>
          </w:divBdr>
        </w:div>
        <w:div w:id="1008556892">
          <w:marLeft w:val="0"/>
          <w:marRight w:val="0"/>
          <w:marTop w:val="0"/>
          <w:marBottom w:val="0"/>
          <w:divBdr>
            <w:top w:val="none" w:sz="0" w:space="0" w:color="auto"/>
            <w:left w:val="none" w:sz="0" w:space="0" w:color="auto"/>
            <w:bottom w:val="none" w:sz="0" w:space="0" w:color="auto"/>
            <w:right w:val="none" w:sz="0" w:space="0" w:color="auto"/>
          </w:divBdr>
        </w:div>
        <w:div w:id="1183474417">
          <w:marLeft w:val="0"/>
          <w:marRight w:val="0"/>
          <w:marTop w:val="0"/>
          <w:marBottom w:val="0"/>
          <w:divBdr>
            <w:top w:val="none" w:sz="0" w:space="0" w:color="auto"/>
            <w:left w:val="none" w:sz="0" w:space="0" w:color="auto"/>
            <w:bottom w:val="none" w:sz="0" w:space="0" w:color="auto"/>
            <w:right w:val="none" w:sz="0" w:space="0" w:color="auto"/>
          </w:divBdr>
        </w:div>
        <w:div w:id="1215654087">
          <w:marLeft w:val="0"/>
          <w:marRight w:val="0"/>
          <w:marTop w:val="0"/>
          <w:marBottom w:val="0"/>
          <w:divBdr>
            <w:top w:val="none" w:sz="0" w:space="0" w:color="auto"/>
            <w:left w:val="none" w:sz="0" w:space="0" w:color="auto"/>
            <w:bottom w:val="none" w:sz="0" w:space="0" w:color="auto"/>
            <w:right w:val="none" w:sz="0" w:space="0" w:color="auto"/>
          </w:divBdr>
        </w:div>
        <w:div w:id="1305699149">
          <w:marLeft w:val="0"/>
          <w:marRight w:val="0"/>
          <w:marTop w:val="0"/>
          <w:marBottom w:val="0"/>
          <w:divBdr>
            <w:top w:val="none" w:sz="0" w:space="0" w:color="auto"/>
            <w:left w:val="none" w:sz="0" w:space="0" w:color="auto"/>
            <w:bottom w:val="none" w:sz="0" w:space="0" w:color="auto"/>
            <w:right w:val="none" w:sz="0" w:space="0" w:color="auto"/>
          </w:divBdr>
        </w:div>
        <w:div w:id="1376343883">
          <w:marLeft w:val="0"/>
          <w:marRight w:val="0"/>
          <w:marTop w:val="0"/>
          <w:marBottom w:val="0"/>
          <w:divBdr>
            <w:top w:val="none" w:sz="0" w:space="0" w:color="auto"/>
            <w:left w:val="none" w:sz="0" w:space="0" w:color="auto"/>
            <w:bottom w:val="none" w:sz="0" w:space="0" w:color="auto"/>
            <w:right w:val="none" w:sz="0" w:space="0" w:color="auto"/>
          </w:divBdr>
        </w:div>
        <w:div w:id="1454666299">
          <w:marLeft w:val="0"/>
          <w:marRight w:val="0"/>
          <w:marTop w:val="0"/>
          <w:marBottom w:val="0"/>
          <w:divBdr>
            <w:top w:val="none" w:sz="0" w:space="0" w:color="auto"/>
            <w:left w:val="none" w:sz="0" w:space="0" w:color="auto"/>
            <w:bottom w:val="none" w:sz="0" w:space="0" w:color="auto"/>
            <w:right w:val="none" w:sz="0" w:space="0" w:color="auto"/>
          </w:divBdr>
        </w:div>
        <w:div w:id="1493521885">
          <w:marLeft w:val="0"/>
          <w:marRight w:val="0"/>
          <w:marTop w:val="0"/>
          <w:marBottom w:val="0"/>
          <w:divBdr>
            <w:top w:val="none" w:sz="0" w:space="0" w:color="auto"/>
            <w:left w:val="none" w:sz="0" w:space="0" w:color="auto"/>
            <w:bottom w:val="none" w:sz="0" w:space="0" w:color="auto"/>
            <w:right w:val="none" w:sz="0" w:space="0" w:color="auto"/>
          </w:divBdr>
        </w:div>
        <w:div w:id="1595476203">
          <w:marLeft w:val="0"/>
          <w:marRight w:val="0"/>
          <w:marTop w:val="0"/>
          <w:marBottom w:val="0"/>
          <w:divBdr>
            <w:top w:val="none" w:sz="0" w:space="0" w:color="auto"/>
            <w:left w:val="none" w:sz="0" w:space="0" w:color="auto"/>
            <w:bottom w:val="none" w:sz="0" w:space="0" w:color="auto"/>
            <w:right w:val="none" w:sz="0" w:space="0" w:color="auto"/>
          </w:divBdr>
        </w:div>
        <w:div w:id="1635254664">
          <w:marLeft w:val="0"/>
          <w:marRight w:val="0"/>
          <w:marTop w:val="0"/>
          <w:marBottom w:val="0"/>
          <w:divBdr>
            <w:top w:val="none" w:sz="0" w:space="0" w:color="auto"/>
            <w:left w:val="none" w:sz="0" w:space="0" w:color="auto"/>
            <w:bottom w:val="none" w:sz="0" w:space="0" w:color="auto"/>
            <w:right w:val="none" w:sz="0" w:space="0" w:color="auto"/>
          </w:divBdr>
        </w:div>
        <w:div w:id="1686126455">
          <w:marLeft w:val="0"/>
          <w:marRight w:val="0"/>
          <w:marTop w:val="0"/>
          <w:marBottom w:val="0"/>
          <w:divBdr>
            <w:top w:val="none" w:sz="0" w:space="0" w:color="auto"/>
            <w:left w:val="none" w:sz="0" w:space="0" w:color="auto"/>
            <w:bottom w:val="none" w:sz="0" w:space="0" w:color="auto"/>
            <w:right w:val="none" w:sz="0" w:space="0" w:color="auto"/>
          </w:divBdr>
        </w:div>
        <w:div w:id="1721899171">
          <w:marLeft w:val="0"/>
          <w:marRight w:val="0"/>
          <w:marTop w:val="0"/>
          <w:marBottom w:val="0"/>
          <w:divBdr>
            <w:top w:val="none" w:sz="0" w:space="0" w:color="auto"/>
            <w:left w:val="none" w:sz="0" w:space="0" w:color="auto"/>
            <w:bottom w:val="none" w:sz="0" w:space="0" w:color="auto"/>
            <w:right w:val="none" w:sz="0" w:space="0" w:color="auto"/>
          </w:divBdr>
        </w:div>
        <w:div w:id="1881432855">
          <w:marLeft w:val="0"/>
          <w:marRight w:val="0"/>
          <w:marTop w:val="0"/>
          <w:marBottom w:val="0"/>
          <w:divBdr>
            <w:top w:val="none" w:sz="0" w:space="0" w:color="auto"/>
            <w:left w:val="none" w:sz="0" w:space="0" w:color="auto"/>
            <w:bottom w:val="none" w:sz="0" w:space="0" w:color="auto"/>
            <w:right w:val="none" w:sz="0" w:space="0" w:color="auto"/>
          </w:divBdr>
        </w:div>
        <w:div w:id="1881433435">
          <w:marLeft w:val="0"/>
          <w:marRight w:val="0"/>
          <w:marTop w:val="0"/>
          <w:marBottom w:val="0"/>
          <w:divBdr>
            <w:top w:val="none" w:sz="0" w:space="0" w:color="auto"/>
            <w:left w:val="none" w:sz="0" w:space="0" w:color="auto"/>
            <w:bottom w:val="none" w:sz="0" w:space="0" w:color="auto"/>
            <w:right w:val="none" w:sz="0" w:space="0" w:color="auto"/>
          </w:divBdr>
        </w:div>
        <w:div w:id="2022733899">
          <w:marLeft w:val="0"/>
          <w:marRight w:val="0"/>
          <w:marTop w:val="0"/>
          <w:marBottom w:val="0"/>
          <w:divBdr>
            <w:top w:val="none" w:sz="0" w:space="0" w:color="auto"/>
            <w:left w:val="none" w:sz="0" w:space="0" w:color="auto"/>
            <w:bottom w:val="none" w:sz="0" w:space="0" w:color="auto"/>
            <w:right w:val="none" w:sz="0" w:space="0" w:color="auto"/>
          </w:divBdr>
        </w:div>
        <w:div w:id="2035886334">
          <w:marLeft w:val="0"/>
          <w:marRight w:val="0"/>
          <w:marTop w:val="0"/>
          <w:marBottom w:val="0"/>
          <w:divBdr>
            <w:top w:val="none" w:sz="0" w:space="0" w:color="auto"/>
            <w:left w:val="none" w:sz="0" w:space="0" w:color="auto"/>
            <w:bottom w:val="none" w:sz="0" w:space="0" w:color="auto"/>
            <w:right w:val="none" w:sz="0" w:space="0" w:color="auto"/>
          </w:divBdr>
        </w:div>
        <w:div w:id="2049331056">
          <w:marLeft w:val="0"/>
          <w:marRight w:val="0"/>
          <w:marTop w:val="0"/>
          <w:marBottom w:val="0"/>
          <w:divBdr>
            <w:top w:val="none" w:sz="0" w:space="0" w:color="auto"/>
            <w:left w:val="none" w:sz="0" w:space="0" w:color="auto"/>
            <w:bottom w:val="none" w:sz="0" w:space="0" w:color="auto"/>
            <w:right w:val="none" w:sz="0" w:space="0" w:color="auto"/>
          </w:divBdr>
        </w:div>
      </w:divsChild>
    </w:div>
    <w:div w:id="687758707">
      <w:bodyDiv w:val="1"/>
      <w:marLeft w:val="0"/>
      <w:marRight w:val="0"/>
      <w:marTop w:val="0"/>
      <w:marBottom w:val="0"/>
      <w:divBdr>
        <w:top w:val="none" w:sz="0" w:space="0" w:color="auto"/>
        <w:left w:val="none" w:sz="0" w:space="0" w:color="auto"/>
        <w:bottom w:val="none" w:sz="0" w:space="0" w:color="auto"/>
        <w:right w:val="none" w:sz="0" w:space="0" w:color="auto"/>
      </w:divBdr>
    </w:div>
    <w:div w:id="696856032">
      <w:bodyDiv w:val="1"/>
      <w:marLeft w:val="0"/>
      <w:marRight w:val="0"/>
      <w:marTop w:val="0"/>
      <w:marBottom w:val="0"/>
      <w:divBdr>
        <w:top w:val="none" w:sz="0" w:space="0" w:color="auto"/>
        <w:left w:val="none" w:sz="0" w:space="0" w:color="auto"/>
        <w:bottom w:val="none" w:sz="0" w:space="0" w:color="auto"/>
        <w:right w:val="none" w:sz="0" w:space="0" w:color="auto"/>
      </w:divBdr>
    </w:div>
    <w:div w:id="700008417">
      <w:bodyDiv w:val="1"/>
      <w:marLeft w:val="0"/>
      <w:marRight w:val="0"/>
      <w:marTop w:val="0"/>
      <w:marBottom w:val="0"/>
      <w:divBdr>
        <w:top w:val="none" w:sz="0" w:space="0" w:color="auto"/>
        <w:left w:val="none" w:sz="0" w:space="0" w:color="auto"/>
        <w:bottom w:val="none" w:sz="0" w:space="0" w:color="auto"/>
        <w:right w:val="none" w:sz="0" w:space="0" w:color="auto"/>
      </w:divBdr>
    </w:div>
    <w:div w:id="714164804">
      <w:bodyDiv w:val="1"/>
      <w:marLeft w:val="0"/>
      <w:marRight w:val="0"/>
      <w:marTop w:val="0"/>
      <w:marBottom w:val="0"/>
      <w:divBdr>
        <w:top w:val="none" w:sz="0" w:space="0" w:color="auto"/>
        <w:left w:val="none" w:sz="0" w:space="0" w:color="auto"/>
        <w:bottom w:val="none" w:sz="0" w:space="0" w:color="auto"/>
        <w:right w:val="none" w:sz="0" w:space="0" w:color="auto"/>
      </w:divBdr>
    </w:div>
    <w:div w:id="728846991">
      <w:bodyDiv w:val="1"/>
      <w:marLeft w:val="0"/>
      <w:marRight w:val="0"/>
      <w:marTop w:val="0"/>
      <w:marBottom w:val="0"/>
      <w:divBdr>
        <w:top w:val="none" w:sz="0" w:space="0" w:color="auto"/>
        <w:left w:val="none" w:sz="0" w:space="0" w:color="auto"/>
        <w:bottom w:val="none" w:sz="0" w:space="0" w:color="auto"/>
        <w:right w:val="none" w:sz="0" w:space="0" w:color="auto"/>
      </w:divBdr>
      <w:divsChild>
        <w:div w:id="173884011">
          <w:marLeft w:val="0"/>
          <w:marRight w:val="0"/>
          <w:marTop w:val="0"/>
          <w:marBottom w:val="0"/>
          <w:divBdr>
            <w:top w:val="none" w:sz="0" w:space="0" w:color="auto"/>
            <w:left w:val="none" w:sz="0" w:space="0" w:color="auto"/>
            <w:bottom w:val="none" w:sz="0" w:space="0" w:color="auto"/>
            <w:right w:val="none" w:sz="0" w:space="0" w:color="auto"/>
          </w:divBdr>
        </w:div>
        <w:div w:id="324096030">
          <w:marLeft w:val="0"/>
          <w:marRight w:val="0"/>
          <w:marTop w:val="0"/>
          <w:marBottom w:val="0"/>
          <w:divBdr>
            <w:top w:val="none" w:sz="0" w:space="0" w:color="auto"/>
            <w:left w:val="none" w:sz="0" w:space="0" w:color="auto"/>
            <w:bottom w:val="none" w:sz="0" w:space="0" w:color="auto"/>
            <w:right w:val="none" w:sz="0" w:space="0" w:color="auto"/>
          </w:divBdr>
        </w:div>
        <w:div w:id="616136543">
          <w:marLeft w:val="0"/>
          <w:marRight w:val="0"/>
          <w:marTop w:val="0"/>
          <w:marBottom w:val="0"/>
          <w:divBdr>
            <w:top w:val="none" w:sz="0" w:space="0" w:color="auto"/>
            <w:left w:val="none" w:sz="0" w:space="0" w:color="auto"/>
            <w:bottom w:val="none" w:sz="0" w:space="0" w:color="auto"/>
            <w:right w:val="none" w:sz="0" w:space="0" w:color="auto"/>
          </w:divBdr>
        </w:div>
        <w:div w:id="818034208">
          <w:marLeft w:val="0"/>
          <w:marRight w:val="0"/>
          <w:marTop w:val="0"/>
          <w:marBottom w:val="0"/>
          <w:divBdr>
            <w:top w:val="none" w:sz="0" w:space="0" w:color="auto"/>
            <w:left w:val="none" w:sz="0" w:space="0" w:color="auto"/>
            <w:bottom w:val="none" w:sz="0" w:space="0" w:color="auto"/>
            <w:right w:val="none" w:sz="0" w:space="0" w:color="auto"/>
          </w:divBdr>
        </w:div>
        <w:div w:id="1269510528">
          <w:marLeft w:val="0"/>
          <w:marRight w:val="0"/>
          <w:marTop w:val="0"/>
          <w:marBottom w:val="0"/>
          <w:divBdr>
            <w:top w:val="none" w:sz="0" w:space="0" w:color="auto"/>
            <w:left w:val="none" w:sz="0" w:space="0" w:color="auto"/>
            <w:bottom w:val="none" w:sz="0" w:space="0" w:color="auto"/>
            <w:right w:val="none" w:sz="0" w:space="0" w:color="auto"/>
          </w:divBdr>
        </w:div>
        <w:div w:id="2099599862">
          <w:marLeft w:val="0"/>
          <w:marRight w:val="0"/>
          <w:marTop w:val="0"/>
          <w:marBottom w:val="0"/>
          <w:divBdr>
            <w:top w:val="none" w:sz="0" w:space="0" w:color="auto"/>
            <w:left w:val="none" w:sz="0" w:space="0" w:color="auto"/>
            <w:bottom w:val="none" w:sz="0" w:space="0" w:color="auto"/>
            <w:right w:val="none" w:sz="0" w:space="0" w:color="auto"/>
          </w:divBdr>
        </w:div>
      </w:divsChild>
    </w:div>
    <w:div w:id="735203469">
      <w:bodyDiv w:val="1"/>
      <w:marLeft w:val="0"/>
      <w:marRight w:val="0"/>
      <w:marTop w:val="0"/>
      <w:marBottom w:val="0"/>
      <w:divBdr>
        <w:top w:val="none" w:sz="0" w:space="0" w:color="auto"/>
        <w:left w:val="none" w:sz="0" w:space="0" w:color="auto"/>
        <w:bottom w:val="none" w:sz="0" w:space="0" w:color="auto"/>
        <w:right w:val="none" w:sz="0" w:space="0" w:color="auto"/>
      </w:divBdr>
    </w:div>
    <w:div w:id="762842261">
      <w:bodyDiv w:val="1"/>
      <w:marLeft w:val="0"/>
      <w:marRight w:val="0"/>
      <w:marTop w:val="0"/>
      <w:marBottom w:val="0"/>
      <w:divBdr>
        <w:top w:val="none" w:sz="0" w:space="0" w:color="auto"/>
        <w:left w:val="none" w:sz="0" w:space="0" w:color="auto"/>
        <w:bottom w:val="none" w:sz="0" w:space="0" w:color="auto"/>
        <w:right w:val="none" w:sz="0" w:space="0" w:color="auto"/>
      </w:divBdr>
    </w:div>
    <w:div w:id="778574014">
      <w:bodyDiv w:val="1"/>
      <w:marLeft w:val="0"/>
      <w:marRight w:val="0"/>
      <w:marTop w:val="0"/>
      <w:marBottom w:val="0"/>
      <w:divBdr>
        <w:top w:val="none" w:sz="0" w:space="0" w:color="auto"/>
        <w:left w:val="none" w:sz="0" w:space="0" w:color="auto"/>
        <w:bottom w:val="none" w:sz="0" w:space="0" w:color="auto"/>
        <w:right w:val="none" w:sz="0" w:space="0" w:color="auto"/>
      </w:divBdr>
    </w:div>
    <w:div w:id="852382257">
      <w:bodyDiv w:val="1"/>
      <w:marLeft w:val="0"/>
      <w:marRight w:val="0"/>
      <w:marTop w:val="0"/>
      <w:marBottom w:val="0"/>
      <w:divBdr>
        <w:top w:val="none" w:sz="0" w:space="0" w:color="auto"/>
        <w:left w:val="none" w:sz="0" w:space="0" w:color="auto"/>
        <w:bottom w:val="none" w:sz="0" w:space="0" w:color="auto"/>
        <w:right w:val="none" w:sz="0" w:space="0" w:color="auto"/>
      </w:divBdr>
    </w:div>
    <w:div w:id="873419859">
      <w:bodyDiv w:val="1"/>
      <w:marLeft w:val="0"/>
      <w:marRight w:val="0"/>
      <w:marTop w:val="0"/>
      <w:marBottom w:val="0"/>
      <w:divBdr>
        <w:top w:val="none" w:sz="0" w:space="0" w:color="auto"/>
        <w:left w:val="none" w:sz="0" w:space="0" w:color="auto"/>
        <w:bottom w:val="none" w:sz="0" w:space="0" w:color="auto"/>
        <w:right w:val="none" w:sz="0" w:space="0" w:color="auto"/>
      </w:divBdr>
    </w:div>
    <w:div w:id="914047407">
      <w:bodyDiv w:val="1"/>
      <w:marLeft w:val="0"/>
      <w:marRight w:val="0"/>
      <w:marTop w:val="0"/>
      <w:marBottom w:val="0"/>
      <w:divBdr>
        <w:top w:val="none" w:sz="0" w:space="0" w:color="auto"/>
        <w:left w:val="none" w:sz="0" w:space="0" w:color="auto"/>
        <w:bottom w:val="none" w:sz="0" w:space="0" w:color="auto"/>
        <w:right w:val="none" w:sz="0" w:space="0" w:color="auto"/>
      </w:divBdr>
    </w:div>
    <w:div w:id="1001548650">
      <w:bodyDiv w:val="1"/>
      <w:marLeft w:val="0"/>
      <w:marRight w:val="0"/>
      <w:marTop w:val="0"/>
      <w:marBottom w:val="0"/>
      <w:divBdr>
        <w:top w:val="none" w:sz="0" w:space="0" w:color="auto"/>
        <w:left w:val="none" w:sz="0" w:space="0" w:color="auto"/>
        <w:bottom w:val="none" w:sz="0" w:space="0" w:color="auto"/>
        <w:right w:val="none" w:sz="0" w:space="0" w:color="auto"/>
      </w:divBdr>
    </w:div>
    <w:div w:id="1013145305">
      <w:bodyDiv w:val="1"/>
      <w:marLeft w:val="0"/>
      <w:marRight w:val="0"/>
      <w:marTop w:val="0"/>
      <w:marBottom w:val="0"/>
      <w:divBdr>
        <w:top w:val="none" w:sz="0" w:space="0" w:color="auto"/>
        <w:left w:val="none" w:sz="0" w:space="0" w:color="auto"/>
        <w:bottom w:val="none" w:sz="0" w:space="0" w:color="auto"/>
        <w:right w:val="none" w:sz="0" w:space="0" w:color="auto"/>
      </w:divBdr>
      <w:divsChild>
        <w:div w:id="1058555644">
          <w:marLeft w:val="0"/>
          <w:marRight w:val="0"/>
          <w:marTop w:val="0"/>
          <w:marBottom w:val="0"/>
          <w:divBdr>
            <w:top w:val="none" w:sz="0" w:space="0" w:color="auto"/>
            <w:left w:val="none" w:sz="0" w:space="0" w:color="auto"/>
            <w:bottom w:val="none" w:sz="0" w:space="0" w:color="auto"/>
            <w:right w:val="none" w:sz="0" w:space="0" w:color="auto"/>
          </w:divBdr>
          <w:divsChild>
            <w:div w:id="630595255">
              <w:marLeft w:val="0"/>
              <w:marRight w:val="0"/>
              <w:marTop w:val="0"/>
              <w:marBottom w:val="0"/>
              <w:divBdr>
                <w:top w:val="none" w:sz="0" w:space="0" w:color="auto"/>
                <w:left w:val="none" w:sz="0" w:space="0" w:color="auto"/>
                <w:bottom w:val="none" w:sz="0" w:space="0" w:color="auto"/>
                <w:right w:val="none" w:sz="0" w:space="0" w:color="auto"/>
              </w:divBdr>
              <w:divsChild>
                <w:div w:id="534387572">
                  <w:marLeft w:val="405"/>
                  <w:marRight w:val="75"/>
                  <w:marTop w:val="0"/>
                  <w:marBottom w:val="0"/>
                  <w:divBdr>
                    <w:top w:val="none" w:sz="0" w:space="0" w:color="auto"/>
                    <w:left w:val="none" w:sz="0" w:space="0" w:color="auto"/>
                    <w:bottom w:val="none" w:sz="0" w:space="0" w:color="auto"/>
                    <w:right w:val="none" w:sz="0" w:space="0" w:color="auto"/>
                  </w:divBdr>
                  <w:divsChild>
                    <w:div w:id="423428197">
                      <w:marLeft w:val="0"/>
                      <w:marRight w:val="0"/>
                      <w:marTop w:val="120"/>
                      <w:marBottom w:val="0"/>
                      <w:divBdr>
                        <w:top w:val="none" w:sz="0" w:space="0" w:color="auto"/>
                        <w:left w:val="none" w:sz="0" w:space="0" w:color="auto"/>
                        <w:bottom w:val="none" w:sz="0" w:space="0" w:color="auto"/>
                        <w:right w:val="none" w:sz="0" w:space="0" w:color="auto"/>
                      </w:divBdr>
                      <w:divsChild>
                        <w:div w:id="1249189507">
                          <w:marLeft w:val="0"/>
                          <w:marRight w:val="0"/>
                          <w:marTop w:val="120"/>
                          <w:marBottom w:val="0"/>
                          <w:divBdr>
                            <w:top w:val="none" w:sz="0" w:space="0" w:color="auto"/>
                            <w:left w:val="none" w:sz="0" w:space="0" w:color="auto"/>
                            <w:bottom w:val="none" w:sz="0" w:space="0" w:color="auto"/>
                            <w:right w:val="none" w:sz="0" w:space="0" w:color="auto"/>
                          </w:divBdr>
                          <w:divsChild>
                            <w:div w:id="157727794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6904439">
      <w:bodyDiv w:val="1"/>
      <w:marLeft w:val="0"/>
      <w:marRight w:val="0"/>
      <w:marTop w:val="0"/>
      <w:marBottom w:val="0"/>
      <w:divBdr>
        <w:top w:val="none" w:sz="0" w:space="0" w:color="auto"/>
        <w:left w:val="none" w:sz="0" w:space="0" w:color="auto"/>
        <w:bottom w:val="none" w:sz="0" w:space="0" w:color="auto"/>
        <w:right w:val="none" w:sz="0" w:space="0" w:color="auto"/>
      </w:divBdr>
    </w:div>
    <w:div w:id="1199048794">
      <w:bodyDiv w:val="1"/>
      <w:marLeft w:val="0"/>
      <w:marRight w:val="0"/>
      <w:marTop w:val="0"/>
      <w:marBottom w:val="0"/>
      <w:divBdr>
        <w:top w:val="none" w:sz="0" w:space="0" w:color="auto"/>
        <w:left w:val="none" w:sz="0" w:space="0" w:color="auto"/>
        <w:bottom w:val="none" w:sz="0" w:space="0" w:color="auto"/>
        <w:right w:val="none" w:sz="0" w:space="0" w:color="auto"/>
      </w:divBdr>
    </w:div>
    <w:div w:id="1202278885">
      <w:bodyDiv w:val="1"/>
      <w:marLeft w:val="0"/>
      <w:marRight w:val="0"/>
      <w:marTop w:val="0"/>
      <w:marBottom w:val="0"/>
      <w:divBdr>
        <w:top w:val="none" w:sz="0" w:space="0" w:color="auto"/>
        <w:left w:val="none" w:sz="0" w:space="0" w:color="auto"/>
        <w:bottom w:val="none" w:sz="0" w:space="0" w:color="auto"/>
        <w:right w:val="none" w:sz="0" w:space="0" w:color="auto"/>
      </w:divBdr>
    </w:div>
    <w:div w:id="1209730119">
      <w:bodyDiv w:val="1"/>
      <w:marLeft w:val="0"/>
      <w:marRight w:val="0"/>
      <w:marTop w:val="0"/>
      <w:marBottom w:val="0"/>
      <w:divBdr>
        <w:top w:val="none" w:sz="0" w:space="0" w:color="auto"/>
        <w:left w:val="none" w:sz="0" w:space="0" w:color="auto"/>
        <w:bottom w:val="none" w:sz="0" w:space="0" w:color="auto"/>
        <w:right w:val="none" w:sz="0" w:space="0" w:color="auto"/>
      </w:divBdr>
    </w:div>
    <w:div w:id="1232083643">
      <w:bodyDiv w:val="1"/>
      <w:marLeft w:val="0"/>
      <w:marRight w:val="0"/>
      <w:marTop w:val="0"/>
      <w:marBottom w:val="0"/>
      <w:divBdr>
        <w:top w:val="none" w:sz="0" w:space="0" w:color="auto"/>
        <w:left w:val="none" w:sz="0" w:space="0" w:color="auto"/>
        <w:bottom w:val="none" w:sz="0" w:space="0" w:color="auto"/>
        <w:right w:val="none" w:sz="0" w:space="0" w:color="auto"/>
      </w:divBdr>
    </w:div>
    <w:div w:id="1243414956">
      <w:bodyDiv w:val="1"/>
      <w:marLeft w:val="0"/>
      <w:marRight w:val="0"/>
      <w:marTop w:val="0"/>
      <w:marBottom w:val="0"/>
      <w:divBdr>
        <w:top w:val="none" w:sz="0" w:space="0" w:color="auto"/>
        <w:left w:val="none" w:sz="0" w:space="0" w:color="auto"/>
        <w:bottom w:val="none" w:sz="0" w:space="0" w:color="auto"/>
        <w:right w:val="none" w:sz="0" w:space="0" w:color="auto"/>
      </w:divBdr>
    </w:div>
    <w:div w:id="1252003250">
      <w:bodyDiv w:val="1"/>
      <w:marLeft w:val="0"/>
      <w:marRight w:val="0"/>
      <w:marTop w:val="0"/>
      <w:marBottom w:val="0"/>
      <w:divBdr>
        <w:top w:val="none" w:sz="0" w:space="0" w:color="auto"/>
        <w:left w:val="none" w:sz="0" w:space="0" w:color="auto"/>
        <w:bottom w:val="none" w:sz="0" w:space="0" w:color="auto"/>
        <w:right w:val="none" w:sz="0" w:space="0" w:color="auto"/>
      </w:divBdr>
    </w:div>
    <w:div w:id="1311443332">
      <w:bodyDiv w:val="1"/>
      <w:marLeft w:val="0"/>
      <w:marRight w:val="0"/>
      <w:marTop w:val="0"/>
      <w:marBottom w:val="0"/>
      <w:divBdr>
        <w:top w:val="none" w:sz="0" w:space="0" w:color="auto"/>
        <w:left w:val="none" w:sz="0" w:space="0" w:color="auto"/>
        <w:bottom w:val="none" w:sz="0" w:space="0" w:color="auto"/>
        <w:right w:val="none" w:sz="0" w:space="0" w:color="auto"/>
      </w:divBdr>
    </w:div>
    <w:div w:id="1378553141">
      <w:bodyDiv w:val="1"/>
      <w:marLeft w:val="0"/>
      <w:marRight w:val="0"/>
      <w:marTop w:val="0"/>
      <w:marBottom w:val="0"/>
      <w:divBdr>
        <w:top w:val="none" w:sz="0" w:space="0" w:color="auto"/>
        <w:left w:val="none" w:sz="0" w:space="0" w:color="auto"/>
        <w:bottom w:val="none" w:sz="0" w:space="0" w:color="auto"/>
        <w:right w:val="none" w:sz="0" w:space="0" w:color="auto"/>
      </w:divBdr>
    </w:div>
    <w:div w:id="1383745785">
      <w:bodyDiv w:val="1"/>
      <w:marLeft w:val="0"/>
      <w:marRight w:val="0"/>
      <w:marTop w:val="0"/>
      <w:marBottom w:val="0"/>
      <w:divBdr>
        <w:top w:val="none" w:sz="0" w:space="0" w:color="auto"/>
        <w:left w:val="none" w:sz="0" w:space="0" w:color="auto"/>
        <w:bottom w:val="none" w:sz="0" w:space="0" w:color="auto"/>
        <w:right w:val="none" w:sz="0" w:space="0" w:color="auto"/>
      </w:divBdr>
    </w:div>
    <w:div w:id="1418019654">
      <w:bodyDiv w:val="1"/>
      <w:marLeft w:val="0"/>
      <w:marRight w:val="0"/>
      <w:marTop w:val="0"/>
      <w:marBottom w:val="0"/>
      <w:divBdr>
        <w:top w:val="none" w:sz="0" w:space="0" w:color="auto"/>
        <w:left w:val="none" w:sz="0" w:space="0" w:color="auto"/>
        <w:bottom w:val="none" w:sz="0" w:space="0" w:color="auto"/>
        <w:right w:val="none" w:sz="0" w:space="0" w:color="auto"/>
      </w:divBdr>
    </w:div>
    <w:div w:id="1432703631">
      <w:bodyDiv w:val="1"/>
      <w:marLeft w:val="0"/>
      <w:marRight w:val="0"/>
      <w:marTop w:val="0"/>
      <w:marBottom w:val="0"/>
      <w:divBdr>
        <w:top w:val="none" w:sz="0" w:space="0" w:color="auto"/>
        <w:left w:val="none" w:sz="0" w:space="0" w:color="auto"/>
        <w:bottom w:val="none" w:sz="0" w:space="0" w:color="auto"/>
        <w:right w:val="none" w:sz="0" w:space="0" w:color="auto"/>
      </w:divBdr>
    </w:div>
    <w:div w:id="1491750022">
      <w:bodyDiv w:val="1"/>
      <w:marLeft w:val="0"/>
      <w:marRight w:val="0"/>
      <w:marTop w:val="0"/>
      <w:marBottom w:val="0"/>
      <w:divBdr>
        <w:top w:val="none" w:sz="0" w:space="0" w:color="auto"/>
        <w:left w:val="none" w:sz="0" w:space="0" w:color="auto"/>
        <w:bottom w:val="none" w:sz="0" w:space="0" w:color="auto"/>
        <w:right w:val="none" w:sz="0" w:space="0" w:color="auto"/>
      </w:divBdr>
    </w:div>
    <w:div w:id="1537232674">
      <w:bodyDiv w:val="1"/>
      <w:marLeft w:val="0"/>
      <w:marRight w:val="0"/>
      <w:marTop w:val="0"/>
      <w:marBottom w:val="0"/>
      <w:divBdr>
        <w:top w:val="none" w:sz="0" w:space="0" w:color="auto"/>
        <w:left w:val="none" w:sz="0" w:space="0" w:color="auto"/>
        <w:bottom w:val="none" w:sz="0" w:space="0" w:color="auto"/>
        <w:right w:val="none" w:sz="0" w:space="0" w:color="auto"/>
      </w:divBdr>
    </w:div>
    <w:div w:id="1541438521">
      <w:bodyDiv w:val="1"/>
      <w:marLeft w:val="0"/>
      <w:marRight w:val="0"/>
      <w:marTop w:val="0"/>
      <w:marBottom w:val="0"/>
      <w:divBdr>
        <w:top w:val="none" w:sz="0" w:space="0" w:color="auto"/>
        <w:left w:val="none" w:sz="0" w:space="0" w:color="auto"/>
        <w:bottom w:val="none" w:sz="0" w:space="0" w:color="auto"/>
        <w:right w:val="none" w:sz="0" w:space="0" w:color="auto"/>
      </w:divBdr>
    </w:div>
    <w:div w:id="1585457019">
      <w:bodyDiv w:val="1"/>
      <w:marLeft w:val="0"/>
      <w:marRight w:val="0"/>
      <w:marTop w:val="0"/>
      <w:marBottom w:val="0"/>
      <w:divBdr>
        <w:top w:val="none" w:sz="0" w:space="0" w:color="auto"/>
        <w:left w:val="none" w:sz="0" w:space="0" w:color="auto"/>
        <w:bottom w:val="none" w:sz="0" w:space="0" w:color="auto"/>
        <w:right w:val="none" w:sz="0" w:space="0" w:color="auto"/>
      </w:divBdr>
    </w:div>
    <w:div w:id="1591236641">
      <w:bodyDiv w:val="1"/>
      <w:marLeft w:val="0"/>
      <w:marRight w:val="0"/>
      <w:marTop w:val="0"/>
      <w:marBottom w:val="0"/>
      <w:divBdr>
        <w:top w:val="none" w:sz="0" w:space="0" w:color="auto"/>
        <w:left w:val="none" w:sz="0" w:space="0" w:color="auto"/>
        <w:bottom w:val="none" w:sz="0" w:space="0" w:color="auto"/>
        <w:right w:val="none" w:sz="0" w:space="0" w:color="auto"/>
      </w:divBdr>
    </w:div>
    <w:div w:id="1632052022">
      <w:bodyDiv w:val="1"/>
      <w:marLeft w:val="0"/>
      <w:marRight w:val="0"/>
      <w:marTop w:val="0"/>
      <w:marBottom w:val="0"/>
      <w:divBdr>
        <w:top w:val="none" w:sz="0" w:space="0" w:color="auto"/>
        <w:left w:val="none" w:sz="0" w:space="0" w:color="auto"/>
        <w:bottom w:val="none" w:sz="0" w:space="0" w:color="auto"/>
        <w:right w:val="none" w:sz="0" w:space="0" w:color="auto"/>
      </w:divBdr>
      <w:divsChild>
        <w:div w:id="409500126">
          <w:marLeft w:val="0"/>
          <w:marRight w:val="0"/>
          <w:marTop w:val="0"/>
          <w:marBottom w:val="0"/>
          <w:divBdr>
            <w:top w:val="none" w:sz="0" w:space="0" w:color="auto"/>
            <w:left w:val="none" w:sz="0" w:space="0" w:color="auto"/>
            <w:bottom w:val="none" w:sz="0" w:space="0" w:color="auto"/>
            <w:right w:val="none" w:sz="0" w:space="0" w:color="auto"/>
          </w:divBdr>
        </w:div>
        <w:div w:id="1152254249">
          <w:marLeft w:val="0"/>
          <w:marRight w:val="0"/>
          <w:marTop w:val="0"/>
          <w:marBottom w:val="0"/>
          <w:divBdr>
            <w:top w:val="none" w:sz="0" w:space="0" w:color="auto"/>
            <w:left w:val="none" w:sz="0" w:space="0" w:color="auto"/>
            <w:bottom w:val="none" w:sz="0" w:space="0" w:color="auto"/>
            <w:right w:val="none" w:sz="0" w:space="0" w:color="auto"/>
          </w:divBdr>
        </w:div>
      </w:divsChild>
    </w:div>
    <w:div w:id="1664550893">
      <w:bodyDiv w:val="1"/>
      <w:marLeft w:val="0"/>
      <w:marRight w:val="0"/>
      <w:marTop w:val="0"/>
      <w:marBottom w:val="0"/>
      <w:divBdr>
        <w:top w:val="none" w:sz="0" w:space="0" w:color="auto"/>
        <w:left w:val="none" w:sz="0" w:space="0" w:color="auto"/>
        <w:bottom w:val="none" w:sz="0" w:space="0" w:color="auto"/>
        <w:right w:val="none" w:sz="0" w:space="0" w:color="auto"/>
      </w:divBdr>
    </w:div>
    <w:div w:id="1675716640">
      <w:bodyDiv w:val="1"/>
      <w:marLeft w:val="0"/>
      <w:marRight w:val="0"/>
      <w:marTop w:val="0"/>
      <w:marBottom w:val="0"/>
      <w:divBdr>
        <w:top w:val="none" w:sz="0" w:space="0" w:color="auto"/>
        <w:left w:val="none" w:sz="0" w:space="0" w:color="auto"/>
        <w:bottom w:val="none" w:sz="0" w:space="0" w:color="auto"/>
        <w:right w:val="none" w:sz="0" w:space="0" w:color="auto"/>
      </w:divBdr>
    </w:div>
    <w:div w:id="1679654689">
      <w:bodyDiv w:val="1"/>
      <w:marLeft w:val="0"/>
      <w:marRight w:val="0"/>
      <w:marTop w:val="0"/>
      <w:marBottom w:val="0"/>
      <w:divBdr>
        <w:top w:val="none" w:sz="0" w:space="0" w:color="auto"/>
        <w:left w:val="none" w:sz="0" w:space="0" w:color="auto"/>
        <w:bottom w:val="none" w:sz="0" w:space="0" w:color="auto"/>
        <w:right w:val="none" w:sz="0" w:space="0" w:color="auto"/>
      </w:divBdr>
    </w:div>
    <w:div w:id="1700862427">
      <w:bodyDiv w:val="1"/>
      <w:marLeft w:val="0"/>
      <w:marRight w:val="0"/>
      <w:marTop w:val="0"/>
      <w:marBottom w:val="0"/>
      <w:divBdr>
        <w:top w:val="none" w:sz="0" w:space="0" w:color="auto"/>
        <w:left w:val="none" w:sz="0" w:space="0" w:color="auto"/>
        <w:bottom w:val="none" w:sz="0" w:space="0" w:color="auto"/>
        <w:right w:val="none" w:sz="0" w:space="0" w:color="auto"/>
      </w:divBdr>
    </w:div>
    <w:div w:id="1713728068">
      <w:bodyDiv w:val="1"/>
      <w:marLeft w:val="0"/>
      <w:marRight w:val="0"/>
      <w:marTop w:val="0"/>
      <w:marBottom w:val="0"/>
      <w:divBdr>
        <w:top w:val="none" w:sz="0" w:space="0" w:color="auto"/>
        <w:left w:val="none" w:sz="0" w:space="0" w:color="auto"/>
        <w:bottom w:val="none" w:sz="0" w:space="0" w:color="auto"/>
        <w:right w:val="none" w:sz="0" w:space="0" w:color="auto"/>
      </w:divBdr>
    </w:div>
    <w:div w:id="1723867852">
      <w:bodyDiv w:val="1"/>
      <w:marLeft w:val="0"/>
      <w:marRight w:val="0"/>
      <w:marTop w:val="0"/>
      <w:marBottom w:val="0"/>
      <w:divBdr>
        <w:top w:val="none" w:sz="0" w:space="0" w:color="auto"/>
        <w:left w:val="none" w:sz="0" w:space="0" w:color="auto"/>
        <w:bottom w:val="none" w:sz="0" w:space="0" w:color="auto"/>
        <w:right w:val="none" w:sz="0" w:space="0" w:color="auto"/>
      </w:divBdr>
    </w:div>
    <w:div w:id="1724014157">
      <w:bodyDiv w:val="1"/>
      <w:marLeft w:val="0"/>
      <w:marRight w:val="0"/>
      <w:marTop w:val="0"/>
      <w:marBottom w:val="0"/>
      <w:divBdr>
        <w:top w:val="none" w:sz="0" w:space="0" w:color="auto"/>
        <w:left w:val="none" w:sz="0" w:space="0" w:color="auto"/>
        <w:bottom w:val="none" w:sz="0" w:space="0" w:color="auto"/>
        <w:right w:val="none" w:sz="0" w:space="0" w:color="auto"/>
      </w:divBdr>
      <w:divsChild>
        <w:div w:id="730346636">
          <w:marLeft w:val="0"/>
          <w:marRight w:val="0"/>
          <w:marTop w:val="0"/>
          <w:marBottom w:val="0"/>
          <w:divBdr>
            <w:top w:val="none" w:sz="0" w:space="0" w:color="auto"/>
            <w:left w:val="none" w:sz="0" w:space="0" w:color="auto"/>
            <w:bottom w:val="none" w:sz="0" w:space="0" w:color="auto"/>
            <w:right w:val="none" w:sz="0" w:space="0" w:color="auto"/>
          </w:divBdr>
        </w:div>
        <w:div w:id="1335455292">
          <w:marLeft w:val="0"/>
          <w:marRight w:val="0"/>
          <w:marTop w:val="0"/>
          <w:marBottom w:val="0"/>
          <w:divBdr>
            <w:top w:val="none" w:sz="0" w:space="0" w:color="auto"/>
            <w:left w:val="none" w:sz="0" w:space="0" w:color="auto"/>
            <w:bottom w:val="none" w:sz="0" w:space="0" w:color="auto"/>
            <w:right w:val="none" w:sz="0" w:space="0" w:color="auto"/>
          </w:divBdr>
        </w:div>
      </w:divsChild>
    </w:div>
    <w:div w:id="1727678456">
      <w:bodyDiv w:val="1"/>
      <w:marLeft w:val="0"/>
      <w:marRight w:val="0"/>
      <w:marTop w:val="0"/>
      <w:marBottom w:val="0"/>
      <w:divBdr>
        <w:top w:val="none" w:sz="0" w:space="0" w:color="auto"/>
        <w:left w:val="none" w:sz="0" w:space="0" w:color="auto"/>
        <w:bottom w:val="none" w:sz="0" w:space="0" w:color="auto"/>
        <w:right w:val="none" w:sz="0" w:space="0" w:color="auto"/>
      </w:divBdr>
      <w:divsChild>
        <w:div w:id="1954364112">
          <w:marLeft w:val="0"/>
          <w:marRight w:val="0"/>
          <w:marTop w:val="0"/>
          <w:marBottom w:val="0"/>
          <w:divBdr>
            <w:top w:val="none" w:sz="0" w:space="0" w:color="auto"/>
            <w:left w:val="none" w:sz="0" w:space="0" w:color="auto"/>
            <w:bottom w:val="none" w:sz="0" w:space="0" w:color="auto"/>
            <w:right w:val="none" w:sz="0" w:space="0" w:color="auto"/>
          </w:divBdr>
          <w:divsChild>
            <w:div w:id="802503547">
              <w:marLeft w:val="0"/>
              <w:marRight w:val="0"/>
              <w:marTop w:val="0"/>
              <w:marBottom w:val="0"/>
              <w:divBdr>
                <w:top w:val="none" w:sz="0" w:space="0" w:color="auto"/>
                <w:left w:val="none" w:sz="0" w:space="0" w:color="auto"/>
                <w:bottom w:val="none" w:sz="0" w:space="0" w:color="auto"/>
                <w:right w:val="none" w:sz="0" w:space="0" w:color="auto"/>
              </w:divBdr>
              <w:divsChild>
                <w:div w:id="1337877894">
                  <w:marLeft w:val="150"/>
                  <w:marRight w:val="1050"/>
                  <w:marTop w:val="0"/>
                  <w:marBottom w:val="0"/>
                  <w:divBdr>
                    <w:top w:val="none" w:sz="0" w:space="0" w:color="auto"/>
                    <w:left w:val="none" w:sz="0" w:space="0" w:color="auto"/>
                    <w:bottom w:val="none" w:sz="0" w:space="0" w:color="auto"/>
                    <w:right w:val="none" w:sz="0" w:space="0" w:color="auto"/>
                  </w:divBdr>
                </w:div>
                <w:div w:id="1626237016">
                  <w:marLeft w:val="150"/>
                  <w:marRight w:val="1050"/>
                  <w:marTop w:val="0"/>
                  <w:marBottom w:val="0"/>
                  <w:divBdr>
                    <w:top w:val="none" w:sz="0" w:space="0" w:color="auto"/>
                    <w:left w:val="none" w:sz="0" w:space="0" w:color="auto"/>
                    <w:bottom w:val="none" w:sz="0" w:space="0" w:color="auto"/>
                    <w:right w:val="none" w:sz="0" w:space="0" w:color="auto"/>
                  </w:divBdr>
                  <w:divsChild>
                    <w:div w:id="1458714887">
                      <w:marLeft w:val="0"/>
                      <w:marRight w:val="0"/>
                      <w:marTop w:val="0"/>
                      <w:marBottom w:val="0"/>
                      <w:divBdr>
                        <w:top w:val="none" w:sz="0" w:space="0" w:color="auto"/>
                        <w:left w:val="none" w:sz="0" w:space="0" w:color="auto"/>
                        <w:bottom w:val="none" w:sz="0" w:space="0" w:color="auto"/>
                        <w:right w:val="none" w:sz="0" w:space="0" w:color="auto"/>
                      </w:divBdr>
                    </w:div>
                  </w:divsChild>
                </w:div>
                <w:div w:id="2101096387">
                  <w:marLeft w:val="225"/>
                  <w:marRight w:val="1050"/>
                  <w:marTop w:val="0"/>
                  <w:marBottom w:val="0"/>
                  <w:divBdr>
                    <w:top w:val="single" w:sz="12" w:space="0" w:color="908D6C"/>
                    <w:left w:val="none" w:sz="0" w:space="0" w:color="auto"/>
                    <w:bottom w:val="none" w:sz="0" w:space="0" w:color="auto"/>
                    <w:right w:val="none" w:sz="0" w:space="0" w:color="auto"/>
                  </w:divBdr>
                </w:div>
              </w:divsChild>
            </w:div>
          </w:divsChild>
        </w:div>
      </w:divsChild>
    </w:div>
    <w:div w:id="1745181012">
      <w:bodyDiv w:val="1"/>
      <w:marLeft w:val="0"/>
      <w:marRight w:val="0"/>
      <w:marTop w:val="0"/>
      <w:marBottom w:val="0"/>
      <w:divBdr>
        <w:top w:val="none" w:sz="0" w:space="0" w:color="auto"/>
        <w:left w:val="none" w:sz="0" w:space="0" w:color="auto"/>
        <w:bottom w:val="none" w:sz="0" w:space="0" w:color="auto"/>
        <w:right w:val="none" w:sz="0" w:space="0" w:color="auto"/>
      </w:divBdr>
    </w:div>
    <w:div w:id="1765344886">
      <w:bodyDiv w:val="1"/>
      <w:marLeft w:val="0"/>
      <w:marRight w:val="0"/>
      <w:marTop w:val="0"/>
      <w:marBottom w:val="0"/>
      <w:divBdr>
        <w:top w:val="none" w:sz="0" w:space="0" w:color="auto"/>
        <w:left w:val="none" w:sz="0" w:space="0" w:color="auto"/>
        <w:bottom w:val="none" w:sz="0" w:space="0" w:color="auto"/>
        <w:right w:val="none" w:sz="0" w:space="0" w:color="auto"/>
      </w:divBdr>
    </w:div>
    <w:div w:id="1937638499">
      <w:bodyDiv w:val="1"/>
      <w:marLeft w:val="0"/>
      <w:marRight w:val="0"/>
      <w:marTop w:val="0"/>
      <w:marBottom w:val="0"/>
      <w:divBdr>
        <w:top w:val="none" w:sz="0" w:space="0" w:color="auto"/>
        <w:left w:val="none" w:sz="0" w:space="0" w:color="auto"/>
        <w:bottom w:val="none" w:sz="0" w:space="0" w:color="auto"/>
        <w:right w:val="none" w:sz="0" w:space="0" w:color="auto"/>
      </w:divBdr>
    </w:div>
    <w:div w:id="1941142886">
      <w:bodyDiv w:val="1"/>
      <w:marLeft w:val="0"/>
      <w:marRight w:val="0"/>
      <w:marTop w:val="0"/>
      <w:marBottom w:val="0"/>
      <w:divBdr>
        <w:top w:val="none" w:sz="0" w:space="0" w:color="auto"/>
        <w:left w:val="none" w:sz="0" w:space="0" w:color="auto"/>
        <w:bottom w:val="none" w:sz="0" w:space="0" w:color="auto"/>
        <w:right w:val="none" w:sz="0" w:space="0" w:color="auto"/>
      </w:divBdr>
    </w:div>
    <w:div w:id="1946621013">
      <w:bodyDiv w:val="1"/>
      <w:marLeft w:val="0"/>
      <w:marRight w:val="0"/>
      <w:marTop w:val="0"/>
      <w:marBottom w:val="0"/>
      <w:divBdr>
        <w:top w:val="none" w:sz="0" w:space="0" w:color="auto"/>
        <w:left w:val="none" w:sz="0" w:space="0" w:color="auto"/>
        <w:bottom w:val="none" w:sz="0" w:space="0" w:color="auto"/>
        <w:right w:val="none" w:sz="0" w:space="0" w:color="auto"/>
      </w:divBdr>
    </w:div>
    <w:div w:id="1951620233">
      <w:bodyDiv w:val="1"/>
      <w:marLeft w:val="0"/>
      <w:marRight w:val="0"/>
      <w:marTop w:val="0"/>
      <w:marBottom w:val="0"/>
      <w:divBdr>
        <w:top w:val="none" w:sz="0" w:space="0" w:color="auto"/>
        <w:left w:val="none" w:sz="0" w:space="0" w:color="auto"/>
        <w:bottom w:val="none" w:sz="0" w:space="0" w:color="auto"/>
        <w:right w:val="none" w:sz="0" w:space="0" w:color="auto"/>
      </w:divBdr>
    </w:div>
    <w:div w:id="1956673805">
      <w:bodyDiv w:val="1"/>
      <w:marLeft w:val="0"/>
      <w:marRight w:val="0"/>
      <w:marTop w:val="0"/>
      <w:marBottom w:val="0"/>
      <w:divBdr>
        <w:top w:val="none" w:sz="0" w:space="0" w:color="auto"/>
        <w:left w:val="none" w:sz="0" w:space="0" w:color="auto"/>
        <w:bottom w:val="none" w:sz="0" w:space="0" w:color="auto"/>
        <w:right w:val="none" w:sz="0" w:space="0" w:color="auto"/>
      </w:divBdr>
    </w:div>
    <w:div w:id="1964341807">
      <w:bodyDiv w:val="1"/>
      <w:marLeft w:val="0"/>
      <w:marRight w:val="0"/>
      <w:marTop w:val="0"/>
      <w:marBottom w:val="0"/>
      <w:divBdr>
        <w:top w:val="none" w:sz="0" w:space="0" w:color="auto"/>
        <w:left w:val="none" w:sz="0" w:space="0" w:color="auto"/>
        <w:bottom w:val="none" w:sz="0" w:space="0" w:color="auto"/>
        <w:right w:val="none" w:sz="0" w:space="0" w:color="auto"/>
      </w:divBdr>
      <w:divsChild>
        <w:div w:id="972905471">
          <w:marLeft w:val="0"/>
          <w:marRight w:val="0"/>
          <w:marTop w:val="0"/>
          <w:marBottom w:val="0"/>
          <w:divBdr>
            <w:top w:val="none" w:sz="0" w:space="0" w:color="auto"/>
            <w:left w:val="none" w:sz="0" w:space="0" w:color="auto"/>
            <w:bottom w:val="none" w:sz="0" w:space="0" w:color="auto"/>
            <w:right w:val="none" w:sz="0" w:space="0" w:color="auto"/>
          </w:divBdr>
          <w:divsChild>
            <w:div w:id="596213114">
              <w:marLeft w:val="0"/>
              <w:marRight w:val="0"/>
              <w:marTop w:val="0"/>
              <w:marBottom w:val="0"/>
              <w:divBdr>
                <w:top w:val="none" w:sz="0" w:space="0" w:color="auto"/>
                <w:left w:val="none" w:sz="0" w:space="0" w:color="auto"/>
                <w:bottom w:val="none" w:sz="0" w:space="0" w:color="auto"/>
                <w:right w:val="none" w:sz="0" w:space="0" w:color="auto"/>
              </w:divBdr>
              <w:divsChild>
                <w:div w:id="913011383">
                  <w:marLeft w:val="405"/>
                  <w:marRight w:val="75"/>
                  <w:marTop w:val="0"/>
                  <w:marBottom w:val="0"/>
                  <w:divBdr>
                    <w:top w:val="none" w:sz="0" w:space="0" w:color="auto"/>
                    <w:left w:val="none" w:sz="0" w:space="0" w:color="auto"/>
                    <w:bottom w:val="none" w:sz="0" w:space="0" w:color="auto"/>
                    <w:right w:val="none" w:sz="0" w:space="0" w:color="auto"/>
                  </w:divBdr>
                  <w:divsChild>
                    <w:div w:id="1428579276">
                      <w:marLeft w:val="0"/>
                      <w:marRight w:val="0"/>
                      <w:marTop w:val="120"/>
                      <w:marBottom w:val="0"/>
                      <w:divBdr>
                        <w:top w:val="none" w:sz="0" w:space="0" w:color="auto"/>
                        <w:left w:val="none" w:sz="0" w:space="0" w:color="auto"/>
                        <w:bottom w:val="none" w:sz="0" w:space="0" w:color="auto"/>
                        <w:right w:val="none" w:sz="0" w:space="0" w:color="auto"/>
                      </w:divBdr>
                      <w:divsChild>
                        <w:div w:id="631254245">
                          <w:marLeft w:val="0"/>
                          <w:marRight w:val="0"/>
                          <w:marTop w:val="120"/>
                          <w:marBottom w:val="0"/>
                          <w:divBdr>
                            <w:top w:val="none" w:sz="0" w:space="0" w:color="auto"/>
                            <w:left w:val="none" w:sz="0" w:space="0" w:color="auto"/>
                            <w:bottom w:val="none" w:sz="0" w:space="0" w:color="auto"/>
                            <w:right w:val="none" w:sz="0" w:space="0" w:color="auto"/>
                          </w:divBdr>
                          <w:divsChild>
                            <w:div w:id="70421240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3975495">
      <w:bodyDiv w:val="1"/>
      <w:marLeft w:val="0"/>
      <w:marRight w:val="0"/>
      <w:marTop w:val="0"/>
      <w:marBottom w:val="0"/>
      <w:divBdr>
        <w:top w:val="none" w:sz="0" w:space="0" w:color="auto"/>
        <w:left w:val="none" w:sz="0" w:space="0" w:color="auto"/>
        <w:bottom w:val="none" w:sz="0" w:space="0" w:color="auto"/>
        <w:right w:val="none" w:sz="0" w:space="0" w:color="auto"/>
      </w:divBdr>
      <w:divsChild>
        <w:div w:id="304088768">
          <w:marLeft w:val="0"/>
          <w:marRight w:val="0"/>
          <w:marTop w:val="0"/>
          <w:marBottom w:val="0"/>
          <w:divBdr>
            <w:top w:val="none" w:sz="0" w:space="0" w:color="auto"/>
            <w:left w:val="none" w:sz="0" w:space="0" w:color="auto"/>
            <w:bottom w:val="none" w:sz="0" w:space="0" w:color="auto"/>
            <w:right w:val="none" w:sz="0" w:space="0" w:color="auto"/>
          </w:divBdr>
          <w:divsChild>
            <w:div w:id="1852912397">
              <w:marLeft w:val="0"/>
              <w:marRight w:val="0"/>
              <w:marTop w:val="0"/>
              <w:marBottom w:val="0"/>
              <w:divBdr>
                <w:top w:val="none" w:sz="0" w:space="0" w:color="auto"/>
                <w:left w:val="none" w:sz="0" w:space="0" w:color="auto"/>
                <w:bottom w:val="none" w:sz="0" w:space="0" w:color="auto"/>
                <w:right w:val="none" w:sz="0" w:space="0" w:color="auto"/>
              </w:divBdr>
              <w:divsChild>
                <w:div w:id="82235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029205">
      <w:bodyDiv w:val="1"/>
      <w:marLeft w:val="0"/>
      <w:marRight w:val="0"/>
      <w:marTop w:val="0"/>
      <w:marBottom w:val="0"/>
      <w:divBdr>
        <w:top w:val="none" w:sz="0" w:space="0" w:color="auto"/>
        <w:left w:val="none" w:sz="0" w:space="0" w:color="auto"/>
        <w:bottom w:val="none" w:sz="0" w:space="0" w:color="auto"/>
        <w:right w:val="none" w:sz="0" w:space="0" w:color="auto"/>
      </w:divBdr>
    </w:div>
    <w:div w:id="2015453081">
      <w:bodyDiv w:val="1"/>
      <w:marLeft w:val="0"/>
      <w:marRight w:val="0"/>
      <w:marTop w:val="0"/>
      <w:marBottom w:val="0"/>
      <w:divBdr>
        <w:top w:val="none" w:sz="0" w:space="0" w:color="auto"/>
        <w:left w:val="none" w:sz="0" w:space="0" w:color="auto"/>
        <w:bottom w:val="none" w:sz="0" w:space="0" w:color="auto"/>
        <w:right w:val="none" w:sz="0" w:space="0" w:color="auto"/>
      </w:divBdr>
    </w:div>
    <w:div w:id="2036497587">
      <w:bodyDiv w:val="1"/>
      <w:marLeft w:val="0"/>
      <w:marRight w:val="0"/>
      <w:marTop w:val="0"/>
      <w:marBottom w:val="0"/>
      <w:divBdr>
        <w:top w:val="none" w:sz="0" w:space="0" w:color="auto"/>
        <w:left w:val="none" w:sz="0" w:space="0" w:color="auto"/>
        <w:bottom w:val="none" w:sz="0" w:space="0" w:color="auto"/>
        <w:right w:val="none" w:sz="0" w:space="0" w:color="auto"/>
      </w:divBdr>
    </w:div>
    <w:div w:id="2044670172">
      <w:bodyDiv w:val="1"/>
      <w:marLeft w:val="0"/>
      <w:marRight w:val="0"/>
      <w:marTop w:val="0"/>
      <w:marBottom w:val="0"/>
      <w:divBdr>
        <w:top w:val="none" w:sz="0" w:space="0" w:color="auto"/>
        <w:left w:val="none" w:sz="0" w:space="0" w:color="auto"/>
        <w:bottom w:val="none" w:sz="0" w:space="0" w:color="auto"/>
        <w:right w:val="none" w:sz="0" w:space="0" w:color="auto"/>
      </w:divBdr>
    </w:div>
    <w:div w:id="214515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servat.unibe.ch/dfr/bv121030.html" TargetMode="External"/><Relationship Id="rId7" Type="http://schemas.openxmlformats.org/officeDocument/2006/relationships/hyperlink" Target="https://www.servat.unibe.ch/dfr/bv059231.html" TargetMode="External"/><Relationship Id="rId2" Type="http://schemas.openxmlformats.org/officeDocument/2006/relationships/hyperlink" Target="https://www.servat.unibe.ch/dfr/bv090060.html" TargetMode="External"/><Relationship Id="rId1" Type="http://schemas.openxmlformats.org/officeDocument/2006/relationships/hyperlink" Target="https://www.servat.unibe.ch/dfr/bv012205.html" TargetMode="External"/><Relationship Id="rId6" Type="http://schemas.openxmlformats.org/officeDocument/2006/relationships/hyperlink" Target="https://www.servat.unibe.ch/dfr/bv090060.html" TargetMode="External"/><Relationship Id="rId5" Type="http://schemas.openxmlformats.org/officeDocument/2006/relationships/hyperlink" Target="https://www.servat.unibe.ch/dfr/bv083238.html" TargetMode="External"/><Relationship Id="rId4" Type="http://schemas.openxmlformats.org/officeDocument/2006/relationships/hyperlink" Target="https://www.servat.unibe.ch/dfr/bv073118.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3691E-2D2A-452B-A0A8-C09E446BF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6039</Words>
  <Characters>38052</Characters>
  <Application>Microsoft Office Word</Application>
  <DocSecurity>0</DocSecurity>
  <Lines>317</Lines>
  <Paragraphs>88</Paragraphs>
  <ScaleCrop>false</ScaleCrop>
  <HeadingPairs>
    <vt:vector size="2" baseType="variant">
      <vt:variant>
        <vt:lpstr>Titel</vt:lpstr>
      </vt:variant>
      <vt:variant>
        <vt:i4>1</vt:i4>
      </vt:variant>
    </vt:vector>
  </HeadingPairs>
  <TitlesOfParts>
    <vt:vector size="1" baseType="lpstr">
      <vt:lpstr>I</vt:lpstr>
    </vt:vector>
  </TitlesOfParts>
  <Company>Johannes Gutenberg-Universität Mainz</Company>
  <LinksUpToDate>false</LinksUpToDate>
  <CharactersWithSpaces>44003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Dörr;Deicke;Natt</dc:creator>
  <cp:lastModifiedBy>Doerr, Prof. Dr. Dieter</cp:lastModifiedBy>
  <cp:revision>37</cp:revision>
  <cp:lastPrinted>2015-08-27T13:08:00Z</cp:lastPrinted>
  <dcterms:created xsi:type="dcterms:W3CDTF">2020-10-01T14:31:00Z</dcterms:created>
  <dcterms:modified xsi:type="dcterms:W3CDTF">2020-11-05T14:34:00Z</dcterms:modified>
</cp:coreProperties>
</file>